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87A69" w14:textId="4E1A39A6" w:rsidR="00BE2CBD" w:rsidRPr="00777BE9" w:rsidRDefault="00BE2CBD" w:rsidP="00BE2CBD">
      <w:pPr>
        <w:ind w:right="51"/>
        <w:jc w:val="center"/>
        <w:rPr>
          <w:rFonts w:ascii="Arial" w:hAnsi="Arial" w:cs="Arial"/>
          <w:b/>
          <w:color w:val="000000" w:themeColor="text1"/>
          <w:lang w:val="es-ES"/>
        </w:rPr>
      </w:pPr>
      <w:bookmarkStart w:id="0" w:name="_Toc26533941"/>
      <w:bookmarkStart w:id="1" w:name="_Toc23253006"/>
      <w:r w:rsidRPr="00777BE9">
        <w:rPr>
          <w:rFonts w:ascii="Arial" w:hAnsi="Arial" w:cs="Arial"/>
          <w:b/>
          <w:color w:val="000000" w:themeColor="text1"/>
          <w:lang w:val="es-ES"/>
        </w:rPr>
        <w:t>INFORME EJECUTIVO DE RESULTADOS DE LA TERCERA EVALUACIÓN VINCULANTE DOS MIL DIECINUEVE</w:t>
      </w:r>
    </w:p>
    <w:bookmarkEnd w:id="0"/>
    <w:p w14:paraId="17A21008" w14:textId="1F9902DA" w:rsidR="00FF7BD9" w:rsidRPr="00777BE9" w:rsidRDefault="00FF7BD9" w:rsidP="00BE2CBD">
      <w:pPr>
        <w:jc w:val="both"/>
        <w:rPr>
          <w:rFonts w:ascii="Arial" w:hAnsi="Arial" w:cs="Arial"/>
          <w:color w:val="000000" w:themeColor="text1"/>
        </w:rPr>
      </w:pPr>
    </w:p>
    <w:p w14:paraId="3F4DBE53" w14:textId="77777777" w:rsidR="000D019A" w:rsidRPr="00777BE9" w:rsidRDefault="000D019A" w:rsidP="000D019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77BE9">
        <w:rPr>
          <w:rFonts w:ascii="Arial" w:hAnsi="Arial" w:cs="Arial"/>
          <w:color w:val="000000" w:themeColor="text1"/>
        </w:rPr>
        <w:t xml:space="preserve">Durante los meses de octubre y noviembre, el Instituto de Transparencia, Acceso a la Información Pública, Protección de Datos Personales y Rendición de Cuentas de la Ciudad de México (INFO), a través de la Dirección de Estado Abierto, Estudios y Evaluación realizó la Tercera Evaluación Vinculante del año 2019, respecto de las recomendaciones y observaciones de la Primera Evaluación Vinculante 2019, respecto del ejercicio 2018. </w:t>
      </w:r>
    </w:p>
    <w:p w14:paraId="248B5191" w14:textId="77777777" w:rsidR="000D019A" w:rsidRPr="00777BE9" w:rsidRDefault="000D019A" w:rsidP="000D019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0FC4F23C" w14:textId="77777777" w:rsidR="000D019A" w:rsidRPr="00777BE9" w:rsidRDefault="000D019A" w:rsidP="000D019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77BE9">
        <w:rPr>
          <w:rFonts w:ascii="Arial" w:hAnsi="Arial" w:cs="Arial"/>
          <w:color w:val="000000" w:themeColor="text1"/>
        </w:rPr>
        <w:t>El Padrón de Sujetos Obligados vigente al 31 de diciembre de 2018 está integrado por 146 sujetos; de los cuales 7</w:t>
      </w:r>
      <w:r w:rsidRPr="00777BE9">
        <w:rPr>
          <w:rStyle w:val="Refdenotaalpie"/>
          <w:rFonts w:ascii="Arial" w:hAnsi="Arial" w:cs="Arial"/>
          <w:color w:val="000000" w:themeColor="text1"/>
        </w:rPr>
        <w:footnoteReference w:id="1"/>
      </w:r>
      <w:r w:rsidRPr="00777BE9">
        <w:rPr>
          <w:rFonts w:ascii="Arial" w:hAnsi="Arial" w:cs="Arial"/>
          <w:color w:val="000000" w:themeColor="text1"/>
        </w:rPr>
        <w:t xml:space="preserve"> obtuvieron un cumplimiento total en la Primera Evaluación Vinculante del año 2019, por lo que únicamente se tuvo que evaluar a los 139 sujetos que no cumplieron a cabalidad con las obligaciones de la Ley de Transparencia Local.</w:t>
      </w:r>
    </w:p>
    <w:p w14:paraId="118D9103" w14:textId="77777777" w:rsidR="000D019A" w:rsidRPr="00777BE9" w:rsidRDefault="000D019A" w:rsidP="000D019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7F00CFD1" w14:textId="6AD655FC" w:rsidR="007419F9" w:rsidRPr="00777BE9" w:rsidRDefault="000D019A" w:rsidP="000D019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77BE9">
        <w:rPr>
          <w:rFonts w:ascii="Arial" w:hAnsi="Arial" w:cs="Arial"/>
          <w:color w:val="000000" w:themeColor="text1"/>
        </w:rPr>
        <w:t>En específico, la evaluación consistió en verificar que los 139 sujetos obligados hubieran atendido a cabalidad las recomendaciones y observaciones que fueron proporcionadas a cada sujeto, a través de sus respectivos dict</w:t>
      </w:r>
      <w:r w:rsidR="00787F64" w:rsidRPr="00777BE9">
        <w:rPr>
          <w:rFonts w:ascii="Arial" w:hAnsi="Arial" w:cs="Arial"/>
          <w:color w:val="000000" w:themeColor="text1"/>
        </w:rPr>
        <w:t>ámenes</w:t>
      </w:r>
      <w:r w:rsidRPr="00777BE9">
        <w:rPr>
          <w:rFonts w:ascii="Arial" w:hAnsi="Arial" w:cs="Arial"/>
          <w:color w:val="000000" w:themeColor="text1"/>
        </w:rPr>
        <w:t xml:space="preserve"> de evaluación; por tal motivo, únicamente se observaron los artículos y fracciones que presentaba</w:t>
      </w:r>
      <w:r w:rsidR="00787F64" w:rsidRPr="00777BE9">
        <w:rPr>
          <w:rFonts w:ascii="Arial" w:hAnsi="Arial" w:cs="Arial"/>
          <w:color w:val="000000" w:themeColor="text1"/>
        </w:rPr>
        <w:t>n</w:t>
      </w:r>
      <w:r w:rsidRPr="00777BE9">
        <w:rPr>
          <w:rFonts w:ascii="Arial" w:hAnsi="Arial" w:cs="Arial"/>
          <w:color w:val="000000" w:themeColor="text1"/>
        </w:rPr>
        <w:t xml:space="preserve"> algún área de oportunidad. </w:t>
      </w:r>
    </w:p>
    <w:p w14:paraId="5D3179D0" w14:textId="77777777" w:rsidR="007419F9" w:rsidRPr="00777BE9" w:rsidRDefault="007419F9" w:rsidP="000D019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4E1B0830" w14:textId="77777777" w:rsidR="000D019A" w:rsidRPr="00777BE9" w:rsidRDefault="00A84315" w:rsidP="000D019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77BE9">
        <w:rPr>
          <w:rFonts w:ascii="Arial" w:hAnsi="Arial" w:cs="Arial"/>
          <w:color w:val="000000" w:themeColor="text1"/>
        </w:rPr>
        <w:t xml:space="preserve">Es decir, esta evaluación solo busca revisar puntos específicos que fueron señalados como recomendaciones y observaciones; mientras aquellas obligaciones que sí fueron cumplidas a cabalidad en la primera </w:t>
      </w:r>
      <w:r w:rsidR="007419F9" w:rsidRPr="00777BE9">
        <w:rPr>
          <w:rFonts w:ascii="Arial" w:hAnsi="Arial" w:cs="Arial"/>
          <w:color w:val="000000" w:themeColor="text1"/>
        </w:rPr>
        <w:t>evaluación</w:t>
      </w:r>
      <w:r w:rsidRPr="00777BE9">
        <w:rPr>
          <w:rFonts w:ascii="Arial" w:hAnsi="Arial" w:cs="Arial"/>
          <w:color w:val="000000" w:themeColor="text1"/>
        </w:rPr>
        <w:t xml:space="preserve"> no fueron objeto de revisión en esta tercera evaluación de solventación. </w:t>
      </w:r>
    </w:p>
    <w:p w14:paraId="7E15FB4A" w14:textId="77777777" w:rsidR="000D019A" w:rsidRPr="00777BE9" w:rsidRDefault="000D019A" w:rsidP="000D019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2C564EA1" w14:textId="77777777" w:rsidR="000D019A" w:rsidRPr="00777BE9" w:rsidRDefault="000D019A" w:rsidP="000D019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77BE9">
        <w:rPr>
          <w:rFonts w:ascii="Arial" w:hAnsi="Arial" w:cs="Arial"/>
          <w:color w:val="000000" w:themeColor="text1"/>
        </w:rPr>
        <w:t xml:space="preserve">En atención a lo anterior, los sujetos obligados pueden situarse en cuatro supuestos: </w:t>
      </w:r>
    </w:p>
    <w:p w14:paraId="06133D00" w14:textId="77777777" w:rsidR="000D019A" w:rsidRPr="00777BE9" w:rsidRDefault="000D019A" w:rsidP="000D019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2B17D98E" w14:textId="761CA77C" w:rsidR="000D019A" w:rsidRPr="00777BE9" w:rsidRDefault="000D019A" w:rsidP="000D019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7BE9">
        <w:rPr>
          <w:rFonts w:ascii="Arial" w:hAnsi="Arial" w:cs="Arial"/>
          <w:color w:val="000000" w:themeColor="text1"/>
          <w:sz w:val="24"/>
          <w:szCs w:val="24"/>
        </w:rPr>
        <w:t xml:space="preserve">Cumplimiento total de las obligaciones de transparencia, después de haber </w:t>
      </w:r>
      <w:r w:rsidR="0034712F" w:rsidRPr="00777BE9">
        <w:rPr>
          <w:rFonts w:ascii="Arial" w:hAnsi="Arial" w:cs="Arial"/>
          <w:color w:val="000000" w:themeColor="text1"/>
          <w:sz w:val="24"/>
          <w:szCs w:val="24"/>
        </w:rPr>
        <w:t>atendido</w:t>
      </w:r>
      <w:r w:rsidRPr="00777BE9">
        <w:rPr>
          <w:rFonts w:ascii="Arial" w:hAnsi="Arial" w:cs="Arial"/>
          <w:color w:val="000000" w:themeColor="text1"/>
          <w:sz w:val="24"/>
          <w:szCs w:val="24"/>
        </w:rPr>
        <w:t xml:space="preserve"> a cabalidad las recomendaciones y observaciones emitidas en la Primera Evaluación Vinculante 2019</w:t>
      </w:r>
      <w:r w:rsidR="00A84315" w:rsidRPr="00777BE9">
        <w:rPr>
          <w:rFonts w:ascii="Arial" w:hAnsi="Arial" w:cs="Arial"/>
          <w:color w:val="000000" w:themeColor="text1"/>
          <w:sz w:val="24"/>
          <w:szCs w:val="24"/>
        </w:rPr>
        <w:t>, lo cual se traduce en un puntaje de 100</w:t>
      </w:r>
      <w:r w:rsidR="00787F64" w:rsidRPr="00777BE9">
        <w:rPr>
          <w:rFonts w:ascii="Arial" w:hAnsi="Arial" w:cs="Arial"/>
          <w:color w:val="000000" w:themeColor="text1"/>
          <w:sz w:val="24"/>
          <w:szCs w:val="24"/>
        </w:rPr>
        <w:t xml:space="preserve"> puntos</w:t>
      </w:r>
      <w:r w:rsidR="00A84315" w:rsidRPr="00777BE9">
        <w:rPr>
          <w:rFonts w:ascii="Arial" w:hAnsi="Arial" w:cs="Arial"/>
          <w:color w:val="000000" w:themeColor="text1"/>
          <w:sz w:val="24"/>
          <w:szCs w:val="24"/>
        </w:rPr>
        <w:t>;</w:t>
      </w:r>
      <w:r w:rsidRPr="00777B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D01EB09" w14:textId="77777777" w:rsidR="000D019A" w:rsidRPr="00777BE9" w:rsidRDefault="000D019A" w:rsidP="000D019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7BE9">
        <w:rPr>
          <w:rFonts w:ascii="Arial" w:hAnsi="Arial" w:cs="Arial"/>
          <w:color w:val="000000" w:themeColor="text1"/>
          <w:sz w:val="24"/>
          <w:szCs w:val="24"/>
        </w:rPr>
        <w:t>Cumplimiento o Incumplimiento parcial, pero con incremento en el puntaje de su índice global de obligaciones de transparencia, como resultado de una atención parcial a las recomendaciones y observaciones emitidas</w:t>
      </w:r>
      <w:r w:rsidR="00A84315" w:rsidRPr="00777BE9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DA298ED" w14:textId="77777777" w:rsidR="000D019A" w:rsidRPr="00777BE9" w:rsidRDefault="000D019A" w:rsidP="000D019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7BE9">
        <w:rPr>
          <w:rFonts w:ascii="Arial" w:hAnsi="Arial" w:cs="Arial"/>
          <w:color w:val="000000" w:themeColor="text1"/>
          <w:sz w:val="24"/>
          <w:szCs w:val="24"/>
        </w:rPr>
        <w:t xml:space="preserve">Cumplimiento o Incumplimiento parcial, pero sin incremento en el puntaje de su índice global de obligaciones de transparencia, debido a la nula atención parcial a las recomendaciones y observaciones emitidas, y </w:t>
      </w:r>
    </w:p>
    <w:p w14:paraId="659978F6" w14:textId="241D87E1" w:rsidR="00E5202D" w:rsidRPr="00777BE9" w:rsidRDefault="000D019A" w:rsidP="007419F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7BE9">
        <w:rPr>
          <w:rFonts w:ascii="Arial" w:hAnsi="Arial" w:cs="Arial"/>
          <w:color w:val="000000" w:themeColor="text1"/>
          <w:sz w:val="24"/>
          <w:szCs w:val="24"/>
        </w:rPr>
        <w:t>Cumplimiento o Incumplimiento parcial, pero con un</w:t>
      </w:r>
      <w:r w:rsidR="00A84315" w:rsidRPr="00777BE9">
        <w:rPr>
          <w:rFonts w:ascii="Arial" w:hAnsi="Arial" w:cs="Arial"/>
          <w:color w:val="000000" w:themeColor="text1"/>
          <w:sz w:val="24"/>
          <w:szCs w:val="24"/>
        </w:rPr>
        <w:t>a</w:t>
      </w:r>
      <w:r w:rsidRPr="00777BE9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A84315" w:rsidRPr="00777BE9">
        <w:rPr>
          <w:rFonts w:ascii="Arial" w:hAnsi="Arial" w:cs="Arial"/>
          <w:color w:val="000000" w:themeColor="text1"/>
          <w:sz w:val="24"/>
          <w:szCs w:val="24"/>
        </w:rPr>
        <w:t>isminución</w:t>
      </w:r>
      <w:r w:rsidRPr="00777BE9">
        <w:rPr>
          <w:rFonts w:ascii="Arial" w:hAnsi="Arial" w:cs="Arial"/>
          <w:color w:val="000000" w:themeColor="text1"/>
          <w:sz w:val="24"/>
          <w:szCs w:val="24"/>
        </w:rPr>
        <w:t xml:space="preserve"> en el puntaje de su índice global de obligaciones de transparencia, debido a la nula atención parcial a las recomendaciones y observaciones emitidas</w:t>
      </w:r>
      <w:r w:rsidR="00E5202D" w:rsidRPr="00777BE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2EC66AE" w14:textId="77777777" w:rsidR="00E5202D" w:rsidRPr="00777BE9" w:rsidRDefault="00E5202D" w:rsidP="00E5202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77BE9">
        <w:rPr>
          <w:rFonts w:ascii="Arial" w:hAnsi="Arial" w:cs="Arial"/>
          <w:color w:val="000000" w:themeColor="text1"/>
        </w:rPr>
        <w:t xml:space="preserve">Los 139 sujetos obligados que tuvieron que atender las recomendaciones y observaciones cumplieron, en promedio, con un 78.62% de sus obligaciones de transparencia que tienen que publicar por ley en sus portales institucionales y la Plataforma Nacional de Transparencia. </w:t>
      </w:r>
    </w:p>
    <w:p w14:paraId="422BD656" w14:textId="77777777" w:rsidR="00E5202D" w:rsidRPr="00777BE9" w:rsidRDefault="00E5202D" w:rsidP="00E5202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26CA72C5" w14:textId="77777777" w:rsidR="00E5202D" w:rsidRPr="00777BE9" w:rsidRDefault="00E5202D" w:rsidP="00E5202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77BE9">
        <w:rPr>
          <w:rFonts w:ascii="Arial" w:hAnsi="Arial" w:cs="Arial"/>
          <w:color w:val="000000" w:themeColor="text1"/>
        </w:rPr>
        <w:t>Los sujetos obligados de la Ciudad de México incrementaron el cumplimiento promedio de sus obligaciones de transparencia, puesto que pasaron de tener un índice de 66.44% a uno de 78.62%, subiendo 12.18 puntos.</w:t>
      </w:r>
    </w:p>
    <w:p w14:paraId="3FA1ABA9" w14:textId="77777777" w:rsidR="00E5202D" w:rsidRPr="00777BE9" w:rsidRDefault="00E5202D" w:rsidP="00E5202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38433FCC" w14:textId="77777777" w:rsidR="00E5202D" w:rsidRPr="00777BE9" w:rsidRDefault="00E5202D" w:rsidP="00E5202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77BE9">
        <w:rPr>
          <w:rFonts w:ascii="Arial" w:hAnsi="Arial" w:cs="Arial"/>
          <w:color w:val="000000" w:themeColor="text1"/>
        </w:rPr>
        <w:t xml:space="preserve">Los 139 sujetos obligados evaluados se integran por: 21 sujetos pertenecientes a la Administración Central, 63 al ámbito de Órganos Desconcentrados, Fondos y Fideicomisos, 16 a las Demarcaciones Territoriales, 2 sujetos obligados del Poder </w:t>
      </w:r>
      <w:r w:rsidRPr="00777BE9">
        <w:rPr>
          <w:rFonts w:ascii="Arial" w:hAnsi="Arial" w:cs="Arial"/>
          <w:color w:val="000000" w:themeColor="text1"/>
        </w:rPr>
        <w:lastRenderedPageBreak/>
        <w:t xml:space="preserve">Legislativo y Poder Judicial, respectivamente, 6 de los Órganos Autónomos, 8 Partidos Políticos y 21 de Sindicatos. </w:t>
      </w:r>
    </w:p>
    <w:p w14:paraId="06F340F1" w14:textId="77777777" w:rsidR="00E5202D" w:rsidRPr="00777BE9" w:rsidRDefault="00E5202D" w:rsidP="00E5202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3D0F0A22" w14:textId="77777777" w:rsidR="00E5202D" w:rsidRPr="00777BE9" w:rsidRDefault="00E5202D" w:rsidP="00E5202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77BE9">
        <w:rPr>
          <w:rFonts w:ascii="Arial" w:hAnsi="Arial" w:cs="Arial"/>
          <w:color w:val="000000" w:themeColor="text1"/>
        </w:rPr>
        <w:t>En esta evaluación se observó que 27 sujetos cumplieron con el 100% de las obligaciones señaladas por las disposiciones comunes, específicas y particulares de la Ley de Transparencia Local; mismos que se integran de la siguiente forma: 9 de la Administración Pública Centralizada, 8 del ámbito de Organismos Desconcentrados, Descentralizados, Paraestatales y Auxiliares, 3 Demarcaciones Territoriales, 1 sujeto obligado perteneciente al Poder Legislativo y Judicial respectivamente, 3 Órganos Autónomos y 2 Partidos Políticos.</w:t>
      </w:r>
    </w:p>
    <w:p w14:paraId="0504971E" w14:textId="77777777" w:rsidR="00E5202D" w:rsidRPr="00777BE9" w:rsidRDefault="00E5202D" w:rsidP="00E5202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1C26086E" w14:textId="77777777" w:rsidR="00E5202D" w:rsidRPr="00777BE9" w:rsidRDefault="00E5202D" w:rsidP="00E5202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77BE9">
        <w:rPr>
          <w:rFonts w:ascii="Arial" w:hAnsi="Arial" w:cs="Arial"/>
          <w:color w:val="000000" w:themeColor="text1"/>
        </w:rPr>
        <w:t xml:space="preserve">De los 112 sujetos obligados que no cumplieron el piso mínimo, 84 sujetos cumplieron parcialmente (IGOT mayor a 60%) y se integran de la siguiente forma: 11 de la Administración Pública Centralizada, 49 del ámbito de Organismos Desconcentrados, Descentralizados, Paraestatales y Auxiliares, 13 Demarcaciones Territoriales, 1 sujeto obligado perteneciente al Poder Legislativo y Judicial respectivamente, 3 Órganos Autónomos, 1 Partido Político y 5 Sindicatos. </w:t>
      </w:r>
    </w:p>
    <w:p w14:paraId="7A1E3614" w14:textId="77777777" w:rsidR="00E5202D" w:rsidRPr="00777BE9" w:rsidRDefault="00E5202D" w:rsidP="00E5202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740DA076" w14:textId="77777777" w:rsidR="00E5202D" w:rsidRPr="00777BE9" w:rsidRDefault="00E5202D" w:rsidP="00E5202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77BE9">
        <w:rPr>
          <w:rFonts w:ascii="Arial" w:hAnsi="Arial" w:cs="Arial"/>
          <w:color w:val="000000" w:themeColor="text1"/>
        </w:rPr>
        <w:t>Por último, 28 sujetos incumplieron parcialmente (IGOT de 59.99% o inferior) y se integran de la siguiente forma: 1 de la Administración Pública Centralizada, 6 del ámbito de Organismos Desconcentrados, Descentralizados, Paraestatales y Auxiliares, 5 Partidos Políticos y 16 Sindicatos.</w:t>
      </w:r>
    </w:p>
    <w:p w14:paraId="49D1D12B" w14:textId="77777777" w:rsidR="00E5202D" w:rsidRPr="00777BE9" w:rsidRDefault="00E5202D" w:rsidP="00E5202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1286"/>
        <w:gridCol w:w="1474"/>
        <w:gridCol w:w="1474"/>
        <w:gridCol w:w="1627"/>
        <w:gridCol w:w="1618"/>
      </w:tblGrid>
      <w:tr w:rsidR="00E5202D" w:rsidRPr="00777BE9" w14:paraId="1994E0D2" w14:textId="77777777" w:rsidTr="001A7993">
        <w:trPr>
          <w:trHeight w:val="300"/>
          <w:tblHeader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115233AB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Rubros de cumplimiento de los sujetos obligados de la Ciudad de México</w:t>
            </w:r>
          </w:p>
        </w:tc>
      </w:tr>
      <w:tr w:rsidR="00E5202D" w:rsidRPr="00777BE9" w14:paraId="316E8301" w14:textId="77777777" w:rsidTr="001A7993">
        <w:trPr>
          <w:trHeight w:val="1120"/>
          <w:tblHeader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7F818684" w14:textId="77777777" w:rsidR="00E5202D" w:rsidRPr="00777BE9" w:rsidRDefault="00E5202D" w:rsidP="001A799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Ámbito de Gobierno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271278EE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Número total de sujetos obligados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0AB6096C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Cumplimiento total</w:t>
            </w:r>
          </w:p>
          <w:p w14:paraId="0494283D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(100 puntos)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42D861E2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Cumplimiento parcial </w:t>
            </w:r>
          </w:p>
          <w:p w14:paraId="022FFE03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(60 a 99.99 puntos)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06306394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Incumplimiento parcial</w:t>
            </w:r>
          </w:p>
          <w:p w14:paraId="0968D7DF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(1 a 59.99 puntos)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162E4BD7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Incumplimiento total</w:t>
            </w:r>
          </w:p>
          <w:p w14:paraId="0920266B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(0 puntos)</w:t>
            </w:r>
          </w:p>
        </w:tc>
      </w:tr>
      <w:tr w:rsidR="00E5202D" w:rsidRPr="00777BE9" w14:paraId="56122B1D" w14:textId="77777777" w:rsidTr="001A7993">
        <w:trPr>
          <w:trHeight w:val="58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496AD" w14:textId="77777777" w:rsidR="00E5202D" w:rsidRPr="00777BE9" w:rsidRDefault="00E5202D" w:rsidP="001A79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</w:rPr>
              <w:t>Poder Ejecutivo - Administración Pública Centralizada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55879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C38B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7E12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40D4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CB3A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0</w:t>
            </w:r>
          </w:p>
        </w:tc>
      </w:tr>
      <w:tr w:rsidR="00E5202D" w:rsidRPr="00777BE9" w14:paraId="5194851F" w14:textId="77777777" w:rsidTr="001A7993">
        <w:trPr>
          <w:trHeight w:val="74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CD679" w14:textId="77777777" w:rsidR="00E5202D" w:rsidRPr="00777BE9" w:rsidRDefault="00E5202D" w:rsidP="001A79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Poder Ejecutivo - Desconcentrados y Paraestatales Descentralizados, Auxiliares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C98C1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63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F1D0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A044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49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132B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1084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0</w:t>
            </w:r>
          </w:p>
        </w:tc>
      </w:tr>
      <w:tr w:rsidR="00E5202D" w:rsidRPr="00777BE9" w14:paraId="6F200E9F" w14:textId="77777777" w:rsidTr="001A7993">
        <w:trPr>
          <w:trHeight w:val="58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3E90D" w14:textId="77777777" w:rsidR="00E5202D" w:rsidRPr="00777BE9" w:rsidRDefault="00E5202D" w:rsidP="001A79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</w:rPr>
              <w:t>Poder Ejecutivo - Demarcaciones Políticas / Alcaldías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07C0C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E0E2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EFC7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8F8B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90B4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0</w:t>
            </w:r>
          </w:p>
        </w:tc>
      </w:tr>
      <w:tr w:rsidR="00E5202D" w:rsidRPr="00777BE9" w14:paraId="1981C74E" w14:textId="77777777" w:rsidTr="001A7993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DE3AC" w14:textId="77777777" w:rsidR="00E5202D" w:rsidRPr="00777BE9" w:rsidRDefault="00E5202D" w:rsidP="001A79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</w:rPr>
              <w:t>Poder Legislativo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40557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BBDC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DE49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5790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D5E7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0</w:t>
            </w:r>
          </w:p>
        </w:tc>
      </w:tr>
      <w:tr w:rsidR="00E5202D" w:rsidRPr="00777BE9" w14:paraId="3F18DFBB" w14:textId="77777777" w:rsidTr="001A7993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7B149" w14:textId="77777777" w:rsidR="00E5202D" w:rsidRPr="00777BE9" w:rsidRDefault="00E5202D" w:rsidP="001A79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</w:rPr>
              <w:t>Poder Judicial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90EF7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0494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7C5B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79AF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2B7B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E5202D" w:rsidRPr="00777BE9" w14:paraId="710F4565" w14:textId="77777777" w:rsidTr="001A7993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BDECD" w14:textId="77777777" w:rsidR="00E5202D" w:rsidRPr="00777BE9" w:rsidRDefault="00E5202D" w:rsidP="001A79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</w:rPr>
              <w:t>Órganos Autónomos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F3E74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DC21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BEB9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85CB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7445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0</w:t>
            </w:r>
          </w:p>
        </w:tc>
      </w:tr>
      <w:tr w:rsidR="00E5202D" w:rsidRPr="00777BE9" w14:paraId="14C2E381" w14:textId="77777777" w:rsidTr="001A7993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614B9" w14:textId="77777777" w:rsidR="00E5202D" w:rsidRPr="00777BE9" w:rsidRDefault="00E5202D" w:rsidP="001A79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</w:rPr>
              <w:t>Partidos Políticos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5DFBD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2A1B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1C7B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903F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9A94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E5202D" w:rsidRPr="00777BE9" w14:paraId="5A6817AD" w14:textId="77777777" w:rsidTr="001A7993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E8722" w14:textId="77777777" w:rsidR="00E5202D" w:rsidRPr="00777BE9" w:rsidRDefault="00E5202D" w:rsidP="001A79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</w:rPr>
              <w:t>Sindicatos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2F0D4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C7D0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4562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C419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EAE4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0</w:t>
            </w:r>
          </w:p>
        </w:tc>
      </w:tr>
      <w:tr w:rsidR="00E5202D" w:rsidRPr="00777BE9" w14:paraId="1C17544A" w14:textId="77777777" w:rsidTr="001A7993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2295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AD0F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139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E6C0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27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2678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84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B7D1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28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87D1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0</w:t>
            </w:r>
          </w:p>
        </w:tc>
      </w:tr>
    </w:tbl>
    <w:p w14:paraId="46095BFF" w14:textId="77777777" w:rsidR="00E5202D" w:rsidRPr="00777BE9" w:rsidRDefault="00E5202D" w:rsidP="00E5202D">
      <w:pPr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77BE9">
        <w:rPr>
          <w:rFonts w:ascii="Arial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C72B714" wp14:editId="27E6353C">
            <wp:simplePos x="0" y="0"/>
            <wp:positionH relativeFrom="column">
              <wp:posOffset>-3810</wp:posOffset>
            </wp:positionH>
            <wp:positionV relativeFrom="paragraph">
              <wp:posOffset>151130</wp:posOffset>
            </wp:positionV>
            <wp:extent cx="5887720" cy="3734435"/>
            <wp:effectExtent l="0" t="0" r="17780" b="12065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1B198E" w14:textId="77777777" w:rsidR="00E5202D" w:rsidRPr="00777BE9" w:rsidRDefault="00E5202D" w:rsidP="00E5202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77BE9">
        <w:rPr>
          <w:rFonts w:ascii="Arial" w:hAnsi="Arial" w:cs="Arial"/>
          <w:color w:val="000000" w:themeColor="text1"/>
        </w:rPr>
        <w:lastRenderedPageBreak/>
        <w:t>Por ámbito, el promedio de cumplimento se observó de la siguiente manera: 94.13% el ámbito de la Administración Central, 85.47% al ámbito de Órganos Desconcentrados, Fondos y Fideicomisos, 90.8% a las Demarcaciones Territoriales, 98.18% del Poder Legislativo, 99.4% del Poder Judicial, 94.16% de los Órganos Autónomos, 60.90% de los Partidos Políticos y 37.7% de Sindicatos.</w:t>
      </w:r>
    </w:p>
    <w:p w14:paraId="5AB04735" w14:textId="77777777" w:rsidR="00E5202D" w:rsidRPr="00777BE9" w:rsidRDefault="00E5202D" w:rsidP="00E5202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1843"/>
        <w:gridCol w:w="1843"/>
      </w:tblGrid>
      <w:tr w:rsidR="00E5202D" w:rsidRPr="00777BE9" w14:paraId="1C3F5B8C" w14:textId="77777777" w:rsidTr="001A7993">
        <w:trPr>
          <w:trHeight w:val="320"/>
          <w:tblHeader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vAlign w:val="bottom"/>
            <w:hideMark/>
          </w:tcPr>
          <w:p w14:paraId="37A8A860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Ámbito de Gobierno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vAlign w:val="bottom"/>
            <w:hideMark/>
          </w:tcPr>
          <w:p w14:paraId="5C5048D5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1° Evaluación ICP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vAlign w:val="bottom"/>
            <w:hideMark/>
          </w:tcPr>
          <w:p w14:paraId="0F070B0B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3° Evaluación ICP</w:t>
            </w:r>
          </w:p>
        </w:tc>
      </w:tr>
      <w:tr w:rsidR="00E5202D" w:rsidRPr="00777BE9" w14:paraId="6006B69C" w14:textId="77777777" w:rsidTr="001A7993">
        <w:trPr>
          <w:trHeight w:val="320"/>
        </w:trPr>
        <w:tc>
          <w:tcPr>
            <w:tcW w:w="509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A7C654" w14:textId="77777777" w:rsidR="00E5202D" w:rsidRPr="00777BE9" w:rsidRDefault="00E5202D" w:rsidP="001A79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</w:rPr>
              <w:t>Poder Ejecutivo - Administración Pública Centralizada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704E65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</w:rPr>
              <w:t>80.13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7C5646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</w:rPr>
              <w:t>94.13</w:t>
            </w:r>
          </w:p>
        </w:tc>
      </w:tr>
      <w:tr w:rsidR="00E5202D" w:rsidRPr="00777BE9" w14:paraId="747F0E0C" w14:textId="77777777" w:rsidTr="001A7993">
        <w:trPr>
          <w:trHeight w:val="600"/>
        </w:trPr>
        <w:tc>
          <w:tcPr>
            <w:tcW w:w="509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98702F" w14:textId="77777777" w:rsidR="00E5202D" w:rsidRPr="00777BE9" w:rsidRDefault="00E5202D" w:rsidP="001A79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</w:rPr>
              <w:t>Poder Ejcutivo - Desconcentrados y Paraestatales Descentralizados, Auxiliares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14C264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</w:rPr>
              <w:t>69.64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727854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</w:rPr>
              <w:t>85.47</w:t>
            </w:r>
          </w:p>
        </w:tc>
      </w:tr>
      <w:tr w:rsidR="00E5202D" w:rsidRPr="00777BE9" w14:paraId="6D9381D0" w14:textId="77777777" w:rsidTr="001A7993">
        <w:trPr>
          <w:trHeight w:val="320"/>
        </w:trPr>
        <w:tc>
          <w:tcPr>
            <w:tcW w:w="509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4AD2E7" w14:textId="77777777" w:rsidR="00E5202D" w:rsidRPr="00777BE9" w:rsidRDefault="00E5202D" w:rsidP="001A79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</w:rPr>
              <w:t>Poder Ejecutivo - Demarcaciones Territoriales / Alcaldías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89BB2A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</w:rPr>
              <w:t>60.03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DE0C87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</w:rPr>
              <w:t>90.8</w:t>
            </w:r>
          </w:p>
        </w:tc>
        <w:bookmarkStart w:id="2" w:name="_GoBack"/>
        <w:bookmarkEnd w:id="2"/>
      </w:tr>
      <w:tr w:rsidR="00E5202D" w:rsidRPr="00777BE9" w14:paraId="70EF40B0" w14:textId="77777777" w:rsidTr="001A7993">
        <w:trPr>
          <w:trHeight w:val="320"/>
        </w:trPr>
        <w:tc>
          <w:tcPr>
            <w:tcW w:w="509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E8029F" w14:textId="77777777" w:rsidR="00E5202D" w:rsidRPr="00777BE9" w:rsidRDefault="00E5202D" w:rsidP="001A79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</w:rPr>
              <w:t>Poder Legislativo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B9638E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</w:rPr>
              <w:t>57.96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2D179A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</w:rPr>
              <w:t>98.18</w:t>
            </w:r>
          </w:p>
        </w:tc>
      </w:tr>
      <w:tr w:rsidR="00E5202D" w:rsidRPr="00777BE9" w14:paraId="004991BB" w14:textId="77777777" w:rsidTr="001A7993">
        <w:trPr>
          <w:trHeight w:val="320"/>
        </w:trPr>
        <w:tc>
          <w:tcPr>
            <w:tcW w:w="509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91A6A9" w14:textId="77777777" w:rsidR="00E5202D" w:rsidRPr="00777BE9" w:rsidRDefault="00E5202D" w:rsidP="001A79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</w:rPr>
              <w:t>Poder Judicial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B36BA6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</w:rPr>
              <w:t>96.4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35995F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</w:rPr>
              <w:t>99.4</w:t>
            </w:r>
          </w:p>
        </w:tc>
      </w:tr>
      <w:tr w:rsidR="00E5202D" w:rsidRPr="00777BE9" w14:paraId="49FF61EB" w14:textId="77777777" w:rsidTr="001A7993">
        <w:trPr>
          <w:trHeight w:val="320"/>
        </w:trPr>
        <w:tc>
          <w:tcPr>
            <w:tcW w:w="509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68599A" w14:textId="77777777" w:rsidR="00E5202D" w:rsidRPr="00777BE9" w:rsidRDefault="00E5202D" w:rsidP="001A79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</w:rPr>
              <w:t>Órganos Autónomos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421D6E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</w:rPr>
              <w:t>86.15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6FE70A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</w:rPr>
              <w:t>94.16</w:t>
            </w:r>
          </w:p>
        </w:tc>
      </w:tr>
      <w:tr w:rsidR="00E5202D" w:rsidRPr="00777BE9" w14:paraId="0ED28480" w14:textId="77777777" w:rsidTr="001A7993">
        <w:trPr>
          <w:trHeight w:val="320"/>
        </w:trPr>
        <w:tc>
          <w:tcPr>
            <w:tcW w:w="509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5C54CD" w14:textId="77777777" w:rsidR="00E5202D" w:rsidRPr="00777BE9" w:rsidRDefault="00E5202D" w:rsidP="001A79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</w:rPr>
              <w:t>Partidos Políticos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2E33E9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</w:rPr>
              <w:t>64.89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8A39A6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</w:rPr>
              <w:t>60.90</w:t>
            </w:r>
          </w:p>
        </w:tc>
      </w:tr>
      <w:tr w:rsidR="00E5202D" w:rsidRPr="00777BE9" w14:paraId="3508B312" w14:textId="77777777" w:rsidTr="001A7993">
        <w:trPr>
          <w:trHeight w:val="320"/>
        </w:trPr>
        <w:tc>
          <w:tcPr>
            <w:tcW w:w="509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31EB42" w14:textId="77777777" w:rsidR="00E5202D" w:rsidRPr="00777BE9" w:rsidRDefault="00E5202D" w:rsidP="001A79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</w:rPr>
              <w:t>Sindicatos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1B04C4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</w:rPr>
              <w:t>24.81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92991D" w14:textId="77777777" w:rsidR="00E5202D" w:rsidRPr="00777BE9" w:rsidRDefault="00E5202D" w:rsidP="001A79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7BE9">
              <w:rPr>
                <w:rFonts w:ascii="Arial" w:hAnsi="Arial" w:cs="Arial"/>
                <w:color w:val="000000" w:themeColor="text1"/>
                <w:sz w:val="20"/>
                <w:szCs w:val="20"/>
              </w:rPr>
              <w:t>37.7</w:t>
            </w:r>
          </w:p>
        </w:tc>
      </w:tr>
    </w:tbl>
    <w:p w14:paraId="29CA8299" w14:textId="77777777" w:rsidR="00E5202D" w:rsidRPr="00777BE9" w:rsidRDefault="00E5202D" w:rsidP="00E5202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5900DEE1" w14:textId="77777777" w:rsidR="00E5202D" w:rsidRPr="00777BE9" w:rsidRDefault="00E5202D" w:rsidP="00E5202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77BE9">
        <w:rPr>
          <w:rFonts w:ascii="Arial" w:hAnsi="Arial" w:cs="Arial"/>
          <w:noProof/>
          <w:color w:val="000000" w:themeColor="text1"/>
          <w:shd w:val="clear" w:color="auto" w:fill="70AD47" w:themeFill="accent6"/>
        </w:rPr>
        <w:drawing>
          <wp:inline distT="0" distB="0" distL="0" distR="0" wp14:anchorId="459516C3" wp14:editId="03971A20">
            <wp:extent cx="5486400" cy="3200400"/>
            <wp:effectExtent l="0" t="0" r="12700" b="1270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C2742B5" w14:textId="77777777" w:rsidR="007419F9" w:rsidRPr="00777BE9" w:rsidRDefault="007419F9" w:rsidP="007419F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2936E01D" w14:textId="77777777" w:rsidR="0075244E" w:rsidRPr="00777BE9" w:rsidRDefault="0075244E" w:rsidP="0075244E">
      <w:pPr>
        <w:pStyle w:val="Ttulo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3" w:name="_Toc23253014"/>
      <w:bookmarkStart w:id="4" w:name="_Toc26533964"/>
      <w:bookmarkEnd w:id="1"/>
      <w:r w:rsidRPr="00777BE9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CONCLUSIONES</w:t>
      </w:r>
      <w:bookmarkEnd w:id="3"/>
      <w:bookmarkEnd w:id="4"/>
      <w:r w:rsidRPr="00777BE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61BD6039" w14:textId="77777777" w:rsidR="00E5202D" w:rsidRPr="00777BE9" w:rsidRDefault="00E5202D" w:rsidP="00E5202D">
      <w:pPr>
        <w:rPr>
          <w:rFonts w:ascii="Arial" w:hAnsi="Arial" w:cs="Arial"/>
        </w:rPr>
      </w:pPr>
    </w:p>
    <w:p w14:paraId="33F31470" w14:textId="1DE101A8" w:rsidR="00E5202D" w:rsidRPr="00777BE9" w:rsidRDefault="00E5202D" w:rsidP="00E5202D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7BE9">
        <w:rPr>
          <w:rFonts w:ascii="Arial" w:hAnsi="Arial" w:cs="Arial"/>
          <w:sz w:val="24"/>
          <w:szCs w:val="24"/>
        </w:rPr>
        <w:t xml:space="preserve">En total, 114 (82.01%) sujetos obligados atendieron las recomendaciones de este Instituto, éstos incluyen los que alcanzaron el cumplimiento total con un IGOT de 100%. </w:t>
      </w:r>
    </w:p>
    <w:p w14:paraId="5C093D48" w14:textId="27DAEAC2" w:rsidR="00E5202D" w:rsidRPr="00777BE9" w:rsidRDefault="00E5202D" w:rsidP="00E5202D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7BE9">
        <w:rPr>
          <w:rFonts w:ascii="Arial" w:hAnsi="Arial" w:cs="Arial"/>
          <w:sz w:val="24"/>
          <w:szCs w:val="24"/>
        </w:rPr>
        <w:t>Los sujetos obligados que alcanzaron, una vez atendidas las recomendaciones, un IGOT de 100 puntos fueron 27 (19.42%).</w:t>
      </w:r>
    </w:p>
    <w:p w14:paraId="146CE374" w14:textId="0EC969C0" w:rsidR="00E5202D" w:rsidRPr="00777BE9" w:rsidRDefault="00E5202D" w:rsidP="00E5202D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7BE9">
        <w:rPr>
          <w:rFonts w:ascii="Arial" w:hAnsi="Arial" w:cs="Arial"/>
          <w:sz w:val="24"/>
          <w:szCs w:val="24"/>
        </w:rPr>
        <w:t>Los sujetos obligados que atendieron parcialmente las recomendaciones y observaciones emitidas en la Primera Evaluación Vinculante 2019 respecto del ejercicio 2018, fueron 87 (62.58%).</w:t>
      </w:r>
    </w:p>
    <w:p w14:paraId="5FEAB381" w14:textId="77E12EFB" w:rsidR="00E5202D" w:rsidRPr="00777BE9" w:rsidRDefault="00E5202D" w:rsidP="00E5202D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7BE9">
        <w:rPr>
          <w:rFonts w:ascii="Arial" w:hAnsi="Arial" w:cs="Arial"/>
          <w:sz w:val="24"/>
          <w:szCs w:val="24"/>
        </w:rPr>
        <w:t xml:space="preserve">De los 139 sujetos obligado, 25 (17.98%) sujetos no atendieron ninguna de las recomendaciones y observaciones emitidas en la Primera Evaluación Vinculante 2019, respecto del ejercicio 2018. De éstos, 21 conservaron el mismo Índice y cuatro tuvieron un decremento en su índice, con respecto al que obtuvieron en la Primera Evaluación. </w:t>
      </w:r>
    </w:p>
    <w:p w14:paraId="0F63DB4A" w14:textId="77777777" w:rsidR="00E5202D" w:rsidRPr="00777BE9" w:rsidRDefault="00E5202D" w:rsidP="00E5202D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7BE9">
        <w:rPr>
          <w:rFonts w:ascii="Arial" w:hAnsi="Arial" w:cs="Arial"/>
          <w:sz w:val="24"/>
          <w:szCs w:val="24"/>
        </w:rPr>
        <w:t xml:space="preserve">La información provista en algunos portales de transparencia no cuenta con los criterios mínimos dispuestos en lo que se refiere a formatos accesibles y datos abiertos, tales como que sean integrales, legibles, no discriminatorios, oportunos, permanentes y primarios. </w:t>
      </w:r>
    </w:p>
    <w:p w14:paraId="04E06E1E" w14:textId="77777777" w:rsidR="00E5202D" w:rsidRPr="00777BE9" w:rsidRDefault="00E5202D" w:rsidP="00E5202D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7BE9">
        <w:rPr>
          <w:rFonts w:ascii="Arial" w:hAnsi="Arial" w:cs="Arial"/>
          <w:sz w:val="24"/>
          <w:szCs w:val="24"/>
        </w:rPr>
        <w:t>Los sujetos obligados deben publicar la información en un lenguaje sencillo y con perspectiva de género, haciendo uso de formatos accesibles y abiertos.</w:t>
      </w:r>
    </w:p>
    <w:p w14:paraId="3CF8BC39" w14:textId="2461D4E3" w:rsidR="00E5202D" w:rsidRPr="00777BE9" w:rsidRDefault="00E5202D" w:rsidP="00E5202D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7BE9">
        <w:rPr>
          <w:rFonts w:ascii="Arial" w:hAnsi="Arial" w:cs="Arial"/>
          <w:sz w:val="24"/>
          <w:szCs w:val="24"/>
        </w:rPr>
        <w:t xml:space="preserve">Las ligas electrónicas no siempre otorgan acceso específico a la información mencionada o simplemente no están en funcionamiento. </w:t>
      </w:r>
    </w:p>
    <w:p w14:paraId="069AE874" w14:textId="77777777" w:rsidR="0075244E" w:rsidRPr="00777BE9" w:rsidRDefault="0075244E" w:rsidP="0075244E">
      <w:pPr>
        <w:pStyle w:val="Ttulo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5" w:name="_Toc26533965"/>
      <w:r w:rsidRPr="00777BE9">
        <w:rPr>
          <w:rFonts w:ascii="Arial" w:hAnsi="Arial" w:cs="Arial"/>
          <w:b/>
          <w:bCs/>
          <w:color w:val="000000" w:themeColor="text1"/>
          <w:sz w:val="24"/>
          <w:szCs w:val="24"/>
        </w:rPr>
        <w:t>LÍNEAS DE ACCIÓN</w:t>
      </w:r>
      <w:bookmarkEnd w:id="5"/>
    </w:p>
    <w:p w14:paraId="7FD45C2C" w14:textId="77777777" w:rsidR="00FF7BD9" w:rsidRPr="00777BE9" w:rsidRDefault="00FF7BD9" w:rsidP="00FF7BD9">
      <w:pPr>
        <w:rPr>
          <w:rFonts w:ascii="Arial" w:hAnsi="Arial" w:cs="Arial"/>
          <w:color w:val="000000" w:themeColor="text1"/>
          <w:lang w:eastAsia="en-US"/>
        </w:rPr>
      </w:pPr>
    </w:p>
    <w:p w14:paraId="10E0F290" w14:textId="77777777" w:rsidR="0075244E" w:rsidRPr="00777BE9" w:rsidRDefault="0075244E" w:rsidP="0075244E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7BE9">
        <w:rPr>
          <w:rFonts w:ascii="Arial" w:hAnsi="Arial" w:cs="Arial"/>
          <w:color w:val="000000" w:themeColor="text1"/>
          <w:sz w:val="24"/>
          <w:szCs w:val="24"/>
        </w:rPr>
        <w:t>Se continuará brindando a los sujetos obligados Asesorías Técnicas Especializadas respecto de la publicación y actualización de las obligaciones de transparencia. En específico se realizarán asesoría y acompañamiento con los sujetos obligados respecto de las recomendaciones y observaciones emitidas en la Primera y Tercera Evaluación Vinculante 2019.</w:t>
      </w:r>
    </w:p>
    <w:p w14:paraId="20C63DA1" w14:textId="77777777" w:rsidR="0075244E" w:rsidRPr="00777BE9" w:rsidRDefault="0075244E" w:rsidP="0075244E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7BE9">
        <w:rPr>
          <w:rFonts w:ascii="Arial" w:hAnsi="Arial" w:cs="Arial"/>
          <w:color w:val="000000" w:themeColor="text1"/>
          <w:sz w:val="24"/>
          <w:szCs w:val="24"/>
        </w:rPr>
        <w:lastRenderedPageBreak/>
        <w:t>Se buscará aprovechar las lecciones de esta evaluación para subsanar, en el corto plazo, las omisiones detectadas, consistentes en:</w:t>
      </w:r>
    </w:p>
    <w:p w14:paraId="70370F9E" w14:textId="77777777" w:rsidR="0075244E" w:rsidRPr="00777BE9" w:rsidRDefault="0075244E" w:rsidP="0075244E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14:paraId="0B5F2134" w14:textId="77777777" w:rsidR="0075244E" w:rsidRPr="00777BE9" w:rsidRDefault="0075244E" w:rsidP="0075244E">
      <w:pPr>
        <w:pStyle w:val="Prrafodelista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7BE9">
        <w:rPr>
          <w:rFonts w:ascii="Arial" w:hAnsi="Arial" w:cs="Arial"/>
          <w:color w:val="000000" w:themeColor="text1"/>
          <w:sz w:val="24"/>
          <w:szCs w:val="24"/>
        </w:rPr>
        <w:t>La importancia de que los sujetos obligados participen en las asesorías técnicas especializadas, con el objetivo de que éstos puedan subsanar sus dudas respecto de la publicación y actualización de la información.</w:t>
      </w:r>
    </w:p>
    <w:p w14:paraId="5B8984A8" w14:textId="77777777" w:rsidR="0075244E" w:rsidRPr="00777BE9" w:rsidRDefault="0075244E" w:rsidP="0075244E">
      <w:pPr>
        <w:pStyle w:val="Prrafodelista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7BE9">
        <w:rPr>
          <w:rFonts w:ascii="Arial" w:hAnsi="Arial" w:cs="Arial"/>
          <w:color w:val="000000" w:themeColor="text1"/>
          <w:sz w:val="24"/>
          <w:szCs w:val="24"/>
        </w:rPr>
        <w:t>Concientizar a los sujetos obligados respecto de la importancia de utilizar un lenguaje sencillo, con perspectiva de género y plasmar la información en formatos accesibles y abiertos.</w:t>
      </w:r>
    </w:p>
    <w:p w14:paraId="45B306C9" w14:textId="77777777" w:rsidR="00526F5E" w:rsidRPr="00777BE9" w:rsidRDefault="0075244E" w:rsidP="00521DAB">
      <w:pPr>
        <w:pStyle w:val="Prrafodelista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7BE9">
        <w:rPr>
          <w:rFonts w:ascii="Arial" w:hAnsi="Arial" w:cs="Arial"/>
          <w:color w:val="000000" w:themeColor="text1"/>
          <w:sz w:val="24"/>
          <w:szCs w:val="24"/>
        </w:rPr>
        <w:t xml:space="preserve">Crear portales web fáciles de usar y accesibles para los grupos que se encuentren en situación de vulnerabilidad, implementar lectores de página, contrastes de color, temporizador dentro de las ventanas emergentes, entre otras herramientas. </w:t>
      </w:r>
    </w:p>
    <w:p w14:paraId="00181A20" w14:textId="77777777" w:rsidR="0075244E" w:rsidRPr="00777BE9" w:rsidRDefault="0075244E" w:rsidP="00526F5E">
      <w:pPr>
        <w:spacing w:line="360" w:lineRule="auto"/>
        <w:ind w:left="1080"/>
        <w:jc w:val="both"/>
        <w:rPr>
          <w:rFonts w:ascii="Arial" w:hAnsi="Arial" w:cs="Arial"/>
          <w:color w:val="000000" w:themeColor="text1"/>
        </w:rPr>
      </w:pPr>
      <w:r w:rsidRPr="00777BE9">
        <w:rPr>
          <w:rFonts w:ascii="Arial" w:hAnsi="Arial" w:cs="Arial"/>
          <w:color w:val="000000" w:themeColor="text1"/>
        </w:rPr>
        <w:t>Lo anterior, con el objetivo de asegurar el cumplimiento total de las obligaciones de los sujetos obligados y asegurar que la ciudadanía pueda para que las personas puedan aprovechar la información correspondiente.</w:t>
      </w:r>
    </w:p>
    <w:p w14:paraId="37AEED94" w14:textId="77777777" w:rsidR="00521DAB" w:rsidRPr="00777BE9" w:rsidRDefault="00521DAB" w:rsidP="00521DAB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06AB00A" w14:textId="7F1D74CD" w:rsidR="0075244E" w:rsidRPr="00777BE9" w:rsidRDefault="00843D9D" w:rsidP="00E5202D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7BE9">
        <w:rPr>
          <w:rFonts w:ascii="Arial" w:hAnsi="Arial" w:cs="Arial"/>
          <w:sz w:val="24"/>
          <w:szCs w:val="24"/>
        </w:rPr>
        <w:t xml:space="preserve">Como órgano garante, el Instituto, con base a las evaluaciones realizadas a lo largo del presenta año, identificará las buenas prácticas que existen en su trabajo, y generará guías, manuales y documentos de buenas prácticas, con el propósito de socializarlos y así facilitar que otros sujetos obligados puedan alcanzar el mismo resultado en las próximas evaluaciones. </w:t>
      </w:r>
    </w:p>
    <w:sectPr w:rsidR="0075244E" w:rsidRPr="00777BE9" w:rsidSect="005E483C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4D458" w14:textId="77777777" w:rsidR="009B01A1" w:rsidRDefault="009B01A1" w:rsidP="009D05E7">
      <w:r>
        <w:separator/>
      </w:r>
    </w:p>
  </w:endnote>
  <w:endnote w:type="continuationSeparator" w:id="0">
    <w:p w14:paraId="7DED5601" w14:textId="77777777" w:rsidR="009B01A1" w:rsidRDefault="009B01A1" w:rsidP="009D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387"/>
      <w:gridCol w:w="3451"/>
    </w:tblGrid>
    <w:tr w:rsidR="00A84315" w14:paraId="683BBA25" w14:textId="77777777" w:rsidTr="007419F9">
      <w:trPr>
        <w:trHeight w:hRule="exact" w:val="115"/>
        <w:jc w:val="center"/>
      </w:trPr>
      <w:tc>
        <w:tcPr>
          <w:tcW w:w="5387" w:type="dxa"/>
          <w:shd w:val="clear" w:color="auto" w:fill="ED7D31" w:themeFill="accent2"/>
          <w:tcMar>
            <w:top w:w="0" w:type="dxa"/>
            <w:bottom w:w="0" w:type="dxa"/>
          </w:tcMar>
        </w:tcPr>
        <w:p w14:paraId="36555ED4" w14:textId="77777777" w:rsidR="00A84315" w:rsidRPr="007419F9" w:rsidRDefault="00A84315">
          <w:pPr>
            <w:pStyle w:val="Encabezado"/>
            <w:rPr>
              <w:caps/>
              <w:color w:val="ED7D31" w:themeColor="accent2"/>
              <w:sz w:val="18"/>
            </w:rPr>
          </w:pPr>
        </w:p>
      </w:tc>
      <w:tc>
        <w:tcPr>
          <w:tcW w:w="3451" w:type="dxa"/>
          <w:shd w:val="clear" w:color="auto" w:fill="ED7D31" w:themeFill="accent2"/>
          <w:tcMar>
            <w:top w:w="0" w:type="dxa"/>
            <w:bottom w:w="0" w:type="dxa"/>
          </w:tcMar>
        </w:tcPr>
        <w:p w14:paraId="0423B0A1" w14:textId="77777777" w:rsidR="00A84315" w:rsidRDefault="00A84315">
          <w:pPr>
            <w:pStyle w:val="Encabezado"/>
            <w:jc w:val="right"/>
            <w:rPr>
              <w:caps/>
              <w:sz w:val="18"/>
            </w:rPr>
          </w:pPr>
        </w:p>
      </w:tc>
    </w:tr>
    <w:tr w:rsidR="00A84315" w14:paraId="78F8FCDC" w14:textId="77777777" w:rsidTr="009D05E7">
      <w:trPr>
        <w:jc w:val="center"/>
      </w:trPr>
      <w:sdt>
        <w:sdtPr>
          <w:rPr>
            <w:rFonts w:ascii="Arial" w:hAnsi="Arial" w:cs="Arial"/>
            <w:b/>
            <w:bCs/>
            <w:caps/>
            <w:color w:val="ED7D31" w:themeColor="accent2"/>
            <w:sz w:val="16"/>
            <w:szCs w:val="16"/>
          </w:rPr>
          <w:alias w:val="Autor"/>
          <w:tag w:val=""/>
          <w:id w:val="1534151868"/>
          <w:placeholder>
            <w:docPart w:val="0554858EAC00804CB39609674A8F89E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387" w:type="dxa"/>
              <w:shd w:val="clear" w:color="auto" w:fill="auto"/>
              <w:vAlign w:val="center"/>
            </w:tcPr>
            <w:p w14:paraId="56611D58" w14:textId="77777777" w:rsidR="00A84315" w:rsidRPr="007419F9" w:rsidRDefault="00A84315">
              <w:pPr>
                <w:pStyle w:val="Piedepgina"/>
                <w:rPr>
                  <w:rFonts w:ascii="Arial" w:hAnsi="Arial" w:cs="Arial"/>
                  <w:b/>
                  <w:bCs/>
                  <w:caps/>
                  <w:color w:val="ED7D31" w:themeColor="accent2"/>
                  <w:sz w:val="16"/>
                  <w:szCs w:val="16"/>
                </w:rPr>
              </w:pPr>
              <w:r w:rsidRPr="007419F9">
                <w:rPr>
                  <w:rFonts w:ascii="Arial" w:hAnsi="Arial" w:cs="Arial"/>
                  <w:b/>
                  <w:bCs/>
                  <w:caps/>
                  <w:color w:val="ED7D31" w:themeColor="accent2"/>
                  <w:sz w:val="16"/>
                  <w:szCs w:val="16"/>
                </w:rPr>
                <w:t>Dirección de Estado Abierto, Estudios y Evaluación</w:t>
              </w:r>
            </w:p>
          </w:tc>
        </w:sdtContent>
      </w:sdt>
      <w:tc>
        <w:tcPr>
          <w:tcW w:w="3451" w:type="dxa"/>
          <w:shd w:val="clear" w:color="auto" w:fill="auto"/>
          <w:vAlign w:val="center"/>
        </w:tcPr>
        <w:p w14:paraId="66AF9521" w14:textId="77777777" w:rsidR="00A84315" w:rsidRPr="009D05E7" w:rsidRDefault="00A84315">
          <w:pPr>
            <w:pStyle w:val="Piedepgina"/>
            <w:jc w:val="right"/>
            <w:rPr>
              <w:rFonts w:ascii="Arial" w:hAnsi="Arial" w:cs="Arial"/>
              <w:b/>
              <w:bCs/>
              <w:caps/>
              <w:color w:val="808080" w:themeColor="background1" w:themeShade="80"/>
              <w:sz w:val="16"/>
              <w:szCs w:val="16"/>
            </w:rPr>
          </w:pPr>
          <w:r w:rsidRPr="007419F9">
            <w:rPr>
              <w:rFonts w:ascii="Arial" w:hAnsi="Arial" w:cs="Arial"/>
              <w:b/>
              <w:bCs/>
              <w:caps/>
              <w:color w:val="ED7D31" w:themeColor="accent2"/>
              <w:sz w:val="16"/>
              <w:szCs w:val="16"/>
            </w:rPr>
            <w:fldChar w:fldCharType="begin"/>
          </w:r>
          <w:r w:rsidRPr="007419F9">
            <w:rPr>
              <w:rFonts w:ascii="Arial" w:hAnsi="Arial" w:cs="Arial"/>
              <w:b/>
              <w:bCs/>
              <w:caps/>
              <w:color w:val="ED7D31" w:themeColor="accent2"/>
              <w:sz w:val="16"/>
              <w:szCs w:val="16"/>
            </w:rPr>
            <w:instrText>PAGE   \* MERGEFORMAT</w:instrText>
          </w:r>
          <w:r w:rsidRPr="007419F9">
            <w:rPr>
              <w:rFonts w:ascii="Arial" w:hAnsi="Arial" w:cs="Arial"/>
              <w:b/>
              <w:bCs/>
              <w:caps/>
              <w:color w:val="ED7D31" w:themeColor="accent2"/>
              <w:sz w:val="16"/>
              <w:szCs w:val="16"/>
            </w:rPr>
            <w:fldChar w:fldCharType="separate"/>
          </w:r>
          <w:r w:rsidRPr="007419F9">
            <w:rPr>
              <w:rFonts w:ascii="Arial" w:hAnsi="Arial" w:cs="Arial"/>
              <w:b/>
              <w:bCs/>
              <w:caps/>
              <w:color w:val="ED7D31" w:themeColor="accent2"/>
              <w:sz w:val="16"/>
              <w:szCs w:val="16"/>
            </w:rPr>
            <w:t>2</w:t>
          </w:r>
          <w:r w:rsidRPr="007419F9">
            <w:rPr>
              <w:rFonts w:ascii="Arial" w:hAnsi="Arial" w:cs="Arial"/>
              <w:b/>
              <w:bCs/>
              <w:caps/>
              <w:color w:val="ED7D31" w:themeColor="accent2"/>
              <w:sz w:val="16"/>
              <w:szCs w:val="16"/>
            </w:rPr>
            <w:fldChar w:fldCharType="end"/>
          </w:r>
        </w:p>
      </w:tc>
    </w:tr>
  </w:tbl>
  <w:p w14:paraId="03097704" w14:textId="77777777" w:rsidR="00A84315" w:rsidRDefault="00A843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164A2" w14:textId="77777777" w:rsidR="009B01A1" w:rsidRDefault="009B01A1" w:rsidP="009D05E7">
      <w:r>
        <w:separator/>
      </w:r>
    </w:p>
  </w:footnote>
  <w:footnote w:type="continuationSeparator" w:id="0">
    <w:p w14:paraId="65029D38" w14:textId="77777777" w:rsidR="009B01A1" w:rsidRDefault="009B01A1" w:rsidP="009D05E7">
      <w:r>
        <w:continuationSeparator/>
      </w:r>
    </w:p>
  </w:footnote>
  <w:footnote w:id="1">
    <w:p w14:paraId="587C0683" w14:textId="77777777" w:rsidR="00A84315" w:rsidRPr="00897E30" w:rsidRDefault="00A84315" w:rsidP="000D01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897E30">
        <w:rPr>
          <w:rFonts w:ascii="Arial" w:hAnsi="Arial" w:cs="Arial"/>
          <w:sz w:val="16"/>
          <w:szCs w:val="16"/>
        </w:rPr>
        <w:t>Secretaría de Desarrollo Social, Secretaría de Finanzas, Centro de Comando, Control, Cómputo, Comunicaciones y Contacto Ciudadano de la Ciudad de México "C5", Metrobús, Tribunal de Justicia Administrativa</w:t>
      </w:r>
      <w:r w:rsidRPr="00897E30">
        <w:rPr>
          <w:rFonts w:ascii="Arial" w:eastAsia="Symbol" w:hAnsi="Arial" w:cs="Arial"/>
          <w:color w:val="000000"/>
          <w:sz w:val="16"/>
          <w:szCs w:val="16"/>
        </w:rPr>
        <w:t xml:space="preserve"> de la Ciudad de México, </w:t>
      </w:r>
      <w:r w:rsidRPr="00897E30">
        <w:rPr>
          <w:rFonts w:ascii="Arial" w:hAnsi="Arial" w:cs="Arial"/>
          <w:sz w:val="16"/>
          <w:szCs w:val="16"/>
        </w:rPr>
        <w:t>Movimiento Ciudadano y Partido Revolucionario Institucional</w:t>
      </w:r>
    </w:p>
    <w:p w14:paraId="2912A28A" w14:textId="77777777" w:rsidR="00A84315" w:rsidRPr="00897E30" w:rsidRDefault="00A84315" w:rsidP="000D019A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D12BC" w14:textId="77777777" w:rsidR="00A84315" w:rsidRDefault="007419F9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9CB13BE" wp14:editId="7EC14B8B">
          <wp:simplePos x="0" y="0"/>
          <wp:positionH relativeFrom="column">
            <wp:posOffset>-1053885</wp:posOffset>
          </wp:positionH>
          <wp:positionV relativeFrom="paragraph">
            <wp:posOffset>-435750</wp:posOffset>
          </wp:positionV>
          <wp:extent cx="7883811" cy="117499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eca_3ra_Evaluacion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811" cy="1174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D48C3C" w14:textId="77777777" w:rsidR="007419F9" w:rsidRDefault="007419F9">
    <w:pPr>
      <w:pStyle w:val="Encabezado"/>
    </w:pPr>
  </w:p>
  <w:p w14:paraId="0114E71E" w14:textId="77777777" w:rsidR="007419F9" w:rsidRDefault="007419F9">
    <w:pPr>
      <w:pStyle w:val="Encabezado"/>
    </w:pPr>
  </w:p>
  <w:p w14:paraId="19F30D31" w14:textId="77777777" w:rsidR="007419F9" w:rsidRDefault="007419F9">
    <w:pPr>
      <w:pStyle w:val="Encabezado"/>
    </w:pPr>
  </w:p>
  <w:p w14:paraId="1C4DD97C" w14:textId="77777777" w:rsidR="00A84315" w:rsidRDefault="00A843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5DD"/>
    <w:multiLevelType w:val="hybridMultilevel"/>
    <w:tmpl w:val="E4CABF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11DC"/>
    <w:multiLevelType w:val="hybridMultilevel"/>
    <w:tmpl w:val="1416D04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48CD"/>
    <w:multiLevelType w:val="multilevel"/>
    <w:tmpl w:val="51C69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DD4026"/>
    <w:multiLevelType w:val="hybridMultilevel"/>
    <w:tmpl w:val="8AB81FDE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A635C4"/>
    <w:multiLevelType w:val="multilevel"/>
    <w:tmpl w:val="51C69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6382FED"/>
    <w:multiLevelType w:val="multilevel"/>
    <w:tmpl w:val="51C69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75B6332"/>
    <w:multiLevelType w:val="hybridMultilevel"/>
    <w:tmpl w:val="12828A90"/>
    <w:lvl w:ilvl="0" w:tplc="080A000F">
      <w:start w:val="1"/>
      <w:numFmt w:val="decimal"/>
      <w:lvlText w:val="%1."/>
      <w:lvlJc w:val="left"/>
      <w:pPr>
        <w:ind w:left="770" w:hanging="360"/>
      </w:pPr>
    </w:lvl>
    <w:lvl w:ilvl="1" w:tplc="080A0019" w:tentative="1">
      <w:start w:val="1"/>
      <w:numFmt w:val="lowerLetter"/>
      <w:lvlText w:val="%2."/>
      <w:lvlJc w:val="left"/>
      <w:pPr>
        <w:ind w:left="1490" w:hanging="360"/>
      </w:pPr>
    </w:lvl>
    <w:lvl w:ilvl="2" w:tplc="080A001B" w:tentative="1">
      <w:start w:val="1"/>
      <w:numFmt w:val="lowerRoman"/>
      <w:lvlText w:val="%3."/>
      <w:lvlJc w:val="right"/>
      <w:pPr>
        <w:ind w:left="2210" w:hanging="180"/>
      </w:pPr>
    </w:lvl>
    <w:lvl w:ilvl="3" w:tplc="080A000F" w:tentative="1">
      <w:start w:val="1"/>
      <w:numFmt w:val="decimal"/>
      <w:lvlText w:val="%4."/>
      <w:lvlJc w:val="left"/>
      <w:pPr>
        <w:ind w:left="2930" w:hanging="360"/>
      </w:pPr>
    </w:lvl>
    <w:lvl w:ilvl="4" w:tplc="080A0019" w:tentative="1">
      <w:start w:val="1"/>
      <w:numFmt w:val="lowerLetter"/>
      <w:lvlText w:val="%5."/>
      <w:lvlJc w:val="left"/>
      <w:pPr>
        <w:ind w:left="3650" w:hanging="360"/>
      </w:pPr>
    </w:lvl>
    <w:lvl w:ilvl="5" w:tplc="080A001B" w:tentative="1">
      <w:start w:val="1"/>
      <w:numFmt w:val="lowerRoman"/>
      <w:lvlText w:val="%6."/>
      <w:lvlJc w:val="right"/>
      <w:pPr>
        <w:ind w:left="4370" w:hanging="180"/>
      </w:pPr>
    </w:lvl>
    <w:lvl w:ilvl="6" w:tplc="080A000F" w:tentative="1">
      <w:start w:val="1"/>
      <w:numFmt w:val="decimal"/>
      <w:lvlText w:val="%7."/>
      <w:lvlJc w:val="left"/>
      <w:pPr>
        <w:ind w:left="5090" w:hanging="360"/>
      </w:pPr>
    </w:lvl>
    <w:lvl w:ilvl="7" w:tplc="080A0019" w:tentative="1">
      <w:start w:val="1"/>
      <w:numFmt w:val="lowerLetter"/>
      <w:lvlText w:val="%8."/>
      <w:lvlJc w:val="left"/>
      <w:pPr>
        <w:ind w:left="5810" w:hanging="360"/>
      </w:pPr>
    </w:lvl>
    <w:lvl w:ilvl="8" w:tplc="08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40E54FC9"/>
    <w:multiLevelType w:val="multilevel"/>
    <w:tmpl w:val="51C69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27D6C11"/>
    <w:multiLevelType w:val="hybridMultilevel"/>
    <w:tmpl w:val="1416D04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33707"/>
    <w:multiLevelType w:val="multilevel"/>
    <w:tmpl w:val="51C69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13D45E4"/>
    <w:multiLevelType w:val="multilevel"/>
    <w:tmpl w:val="51C69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82600E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F74334"/>
    <w:multiLevelType w:val="hybridMultilevel"/>
    <w:tmpl w:val="AB50BB3C"/>
    <w:lvl w:ilvl="0" w:tplc="080A000F">
      <w:start w:val="1"/>
      <w:numFmt w:val="decimal"/>
      <w:lvlText w:val="%1."/>
      <w:lvlJc w:val="left"/>
      <w:pPr>
        <w:ind w:left="789" w:hanging="360"/>
      </w:pPr>
    </w:lvl>
    <w:lvl w:ilvl="1" w:tplc="080A0019" w:tentative="1">
      <w:start w:val="1"/>
      <w:numFmt w:val="lowerLetter"/>
      <w:lvlText w:val="%2."/>
      <w:lvlJc w:val="left"/>
      <w:pPr>
        <w:ind w:left="1509" w:hanging="360"/>
      </w:pPr>
    </w:lvl>
    <w:lvl w:ilvl="2" w:tplc="080A001B" w:tentative="1">
      <w:start w:val="1"/>
      <w:numFmt w:val="lowerRoman"/>
      <w:lvlText w:val="%3."/>
      <w:lvlJc w:val="right"/>
      <w:pPr>
        <w:ind w:left="2229" w:hanging="180"/>
      </w:pPr>
    </w:lvl>
    <w:lvl w:ilvl="3" w:tplc="080A000F" w:tentative="1">
      <w:start w:val="1"/>
      <w:numFmt w:val="decimal"/>
      <w:lvlText w:val="%4."/>
      <w:lvlJc w:val="left"/>
      <w:pPr>
        <w:ind w:left="2949" w:hanging="360"/>
      </w:pPr>
    </w:lvl>
    <w:lvl w:ilvl="4" w:tplc="080A0019" w:tentative="1">
      <w:start w:val="1"/>
      <w:numFmt w:val="lowerLetter"/>
      <w:lvlText w:val="%5."/>
      <w:lvlJc w:val="left"/>
      <w:pPr>
        <w:ind w:left="3669" w:hanging="360"/>
      </w:pPr>
    </w:lvl>
    <w:lvl w:ilvl="5" w:tplc="080A001B" w:tentative="1">
      <w:start w:val="1"/>
      <w:numFmt w:val="lowerRoman"/>
      <w:lvlText w:val="%6."/>
      <w:lvlJc w:val="right"/>
      <w:pPr>
        <w:ind w:left="4389" w:hanging="180"/>
      </w:pPr>
    </w:lvl>
    <w:lvl w:ilvl="6" w:tplc="080A000F" w:tentative="1">
      <w:start w:val="1"/>
      <w:numFmt w:val="decimal"/>
      <w:lvlText w:val="%7."/>
      <w:lvlJc w:val="left"/>
      <w:pPr>
        <w:ind w:left="5109" w:hanging="360"/>
      </w:pPr>
    </w:lvl>
    <w:lvl w:ilvl="7" w:tplc="080A0019" w:tentative="1">
      <w:start w:val="1"/>
      <w:numFmt w:val="lowerLetter"/>
      <w:lvlText w:val="%8."/>
      <w:lvlJc w:val="left"/>
      <w:pPr>
        <w:ind w:left="5829" w:hanging="360"/>
      </w:pPr>
    </w:lvl>
    <w:lvl w:ilvl="8" w:tplc="080A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3" w15:restartNumberingAfterBreak="0">
    <w:nsid w:val="6AB14E5D"/>
    <w:multiLevelType w:val="multilevel"/>
    <w:tmpl w:val="51C69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D872B04"/>
    <w:multiLevelType w:val="hybridMultilevel"/>
    <w:tmpl w:val="12828A90"/>
    <w:lvl w:ilvl="0" w:tplc="080A000F">
      <w:start w:val="1"/>
      <w:numFmt w:val="decimal"/>
      <w:lvlText w:val="%1."/>
      <w:lvlJc w:val="left"/>
      <w:pPr>
        <w:ind w:left="770" w:hanging="360"/>
      </w:pPr>
    </w:lvl>
    <w:lvl w:ilvl="1" w:tplc="080A0019" w:tentative="1">
      <w:start w:val="1"/>
      <w:numFmt w:val="lowerLetter"/>
      <w:lvlText w:val="%2."/>
      <w:lvlJc w:val="left"/>
      <w:pPr>
        <w:ind w:left="1490" w:hanging="360"/>
      </w:pPr>
    </w:lvl>
    <w:lvl w:ilvl="2" w:tplc="080A001B" w:tentative="1">
      <w:start w:val="1"/>
      <w:numFmt w:val="lowerRoman"/>
      <w:lvlText w:val="%3."/>
      <w:lvlJc w:val="right"/>
      <w:pPr>
        <w:ind w:left="2210" w:hanging="180"/>
      </w:pPr>
    </w:lvl>
    <w:lvl w:ilvl="3" w:tplc="080A000F" w:tentative="1">
      <w:start w:val="1"/>
      <w:numFmt w:val="decimal"/>
      <w:lvlText w:val="%4."/>
      <w:lvlJc w:val="left"/>
      <w:pPr>
        <w:ind w:left="2930" w:hanging="360"/>
      </w:pPr>
    </w:lvl>
    <w:lvl w:ilvl="4" w:tplc="080A0019" w:tentative="1">
      <w:start w:val="1"/>
      <w:numFmt w:val="lowerLetter"/>
      <w:lvlText w:val="%5."/>
      <w:lvlJc w:val="left"/>
      <w:pPr>
        <w:ind w:left="3650" w:hanging="360"/>
      </w:pPr>
    </w:lvl>
    <w:lvl w:ilvl="5" w:tplc="080A001B" w:tentative="1">
      <w:start w:val="1"/>
      <w:numFmt w:val="lowerRoman"/>
      <w:lvlText w:val="%6."/>
      <w:lvlJc w:val="right"/>
      <w:pPr>
        <w:ind w:left="4370" w:hanging="180"/>
      </w:pPr>
    </w:lvl>
    <w:lvl w:ilvl="6" w:tplc="080A000F" w:tentative="1">
      <w:start w:val="1"/>
      <w:numFmt w:val="decimal"/>
      <w:lvlText w:val="%7."/>
      <w:lvlJc w:val="left"/>
      <w:pPr>
        <w:ind w:left="5090" w:hanging="360"/>
      </w:pPr>
    </w:lvl>
    <w:lvl w:ilvl="7" w:tplc="080A0019" w:tentative="1">
      <w:start w:val="1"/>
      <w:numFmt w:val="lowerLetter"/>
      <w:lvlText w:val="%8."/>
      <w:lvlJc w:val="left"/>
      <w:pPr>
        <w:ind w:left="5810" w:hanging="360"/>
      </w:pPr>
    </w:lvl>
    <w:lvl w:ilvl="8" w:tplc="08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71B509A0"/>
    <w:multiLevelType w:val="hybridMultilevel"/>
    <w:tmpl w:val="12828A90"/>
    <w:lvl w:ilvl="0" w:tplc="080A000F">
      <w:start w:val="1"/>
      <w:numFmt w:val="decimal"/>
      <w:lvlText w:val="%1."/>
      <w:lvlJc w:val="left"/>
      <w:pPr>
        <w:ind w:left="770" w:hanging="360"/>
      </w:pPr>
    </w:lvl>
    <w:lvl w:ilvl="1" w:tplc="080A0019" w:tentative="1">
      <w:start w:val="1"/>
      <w:numFmt w:val="lowerLetter"/>
      <w:lvlText w:val="%2."/>
      <w:lvlJc w:val="left"/>
      <w:pPr>
        <w:ind w:left="1490" w:hanging="360"/>
      </w:pPr>
    </w:lvl>
    <w:lvl w:ilvl="2" w:tplc="080A001B" w:tentative="1">
      <w:start w:val="1"/>
      <w:numFmt w:val="lowerRoman"/>
      <w:lvlText w:val="%3."/>
      <w:lvlJc w:val="right"/>
      <w:pPr>
        <w:ind w:left="2210" w:hanging="180"/>
      </w:pPr>
    </w:lvl>
    <w:lvl w:ilvl="3" w:tplc="080A000F" w:tentative="1">
      <w:start w:val="1"/>
      <w:numFmt w:val="decimal"/>
      <w:lvlText w:val="%4."/>
      <w:lvlJc w:val="left"/>
      <w:pPr>
        <w:ind w:left="2930" w:hanging="360"/>
      </w:pPr>
    </w:lvl>
    <w:lvl w:ilvl="4" w:tplc="080A0019" w:tentative="1">
      <w:start w:val="1"/>
      <w:numFmt w:val="lowerLetter"/>
      <w:lvlText w:val="%5."/>
      <w:lvlJc w:val="left"/>
      <w:pPr>
        <w:ind w:left="3650" w:hanging="360"/>
      </w:pPr>
    </w:lvl>
    <w:lvl w:ilvl="5" w:tplc="080A001B" w:tentative="1">
      <w:start w:val="1"/>
      <w:numFmt w:val="lowerRoman"/>
      <w:lvlText w:val="%6."/>
      <w:lvlJc w:val="right"/>
      <w:pPr>
        <w:ind w:left="4370" w:hanging="180"/>
      </w:pPr>
    </w:lvl>
    <w:lvl w:ilvl="6" w:tplc="080A000F" w:tentative="1">
      <w:start w:val="1"/>
      <w:numFmt w:val="decimal"/>
      <w:lvlText w:val="%7."/>
      <w:lvlJc w:val="left"/>
      <w:pPr>
        <w:ind w:left="5090" w:hanging="360"/>
      </w:pPr>
    </w:lvl>
    <w:lvl w:ilvl="7" w:tplc="080A0019" w:tentative="1">
      <w:start w:val="1"/>
      <w:numFmt w:val="lowerLetter"/>
      <w:lvlText w:val="%8."/>
      <w:lvlJc w:val="left"/>
      <w:pPr>
        <w:ind w:left="5810" w:hanging="360"/>
      </w:pPr>
    </w:lvl>
    <w:lvl w:ilvl="8" w:tplc="08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78F656A3"/>
    <w:multiLevelType w:val="multilevel"/>
    <w:tmpl w:val="51C69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6"/>
  </w:num>
  <w:num w:numId="5">
    <w:abstractNumId w:val="2"/>
  </w:num>
  <w:num w:numId="6">
    <w:abstractNumId w:val="15"/>
  </w:num>
  <w:num w:numId="7">
    <w:abstractNumId w:val="16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  <w:num w:numId="12">
    <w:abstractNumId w:val="9"/>
  </w:num>
  <w:num w:numId="13">
    <w:abstractNumId w:val="7"/>
  </w:num>
  <w:num w:numId="14">
    <w:abstractNumId w:val="4"/>
  </w:num>
  <w:num w:numId="15">
    <w:abstractNumId w:val="13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8F3"/>
    <w:rsid w:val="00071E52"/>
    <w:rsid w:val="0007356A"/>
    <w:rsid w:val="000A5B63"/>
    <w:rsid w:val="000D019A"/>
    <w:rsid w:val="00107609"/>
    <w:rsid w:val="00130AF5"/>
    <w:rsid w:val="00151E44"/>
    <w:rsid w:val="00154BA9"/>
    <w:rsid w:val="001758BC"/>
    <w:rsid w:val="001A6622"/>
    <w:rsid w:val="001C2DF6"/>
    <w:rsid w:val="001F7251"/>
    <w:rsid w:val="002132FC"/>
    <w:rsid w:val="00226421"/>
    <w:rsid w:val="00243704"/>
    <w:rsid w:val="002C1549"/>
    <w:rsid w:val="002D2A1D"/>
    <w:rsid w:val="002E7CF1"/>
    <w:rsid w:val="00326219"/>
    <w:rsid w:val="0034712F"/>
    <w:rsid w:val="00385157"/>
    <w:rsid w:val="00395E4C"/>
    <w:rsid w:val="00443C3B"/>
    <w:rsid w:val="00474285"/>
    <w:rsid w:val="004828F3"/>
    <w:rsid w:val="004903C6"/>
    <w:rsid w:val="004D62A7"/>
    <w:rsid w:val="004F4C6E"/>
    <w:rsid w:val="00501317"/>
    <w:rsid w:val="00521DAB"/>
    <w:rsid w:val="00526F5E"/>
    <w:rsid w:val="005730F5"/>
    <w:rsid w:val="005B6857"/>
    <w:rsid w:val="005E483C"/>
    <w:rsid w:val="00632D2C"/>
    <w:rsid w:val="006367E2"/>
    <w:rsid w:val="00666F25"/>
    <w:rsid w:val="00677E37"/>
    <w:rsid w:val="006A6BFD"/>
    <w:rsid w:val="00721802"/>
    <w:rsid w:val="00725577"/>
    <w:rsid w:val="007419F9"/>
    <w:rsid w:val="0075244E"/>
    <w:rsid w:val="00756F04"/>
    <w:rsid w:val="00761D3B"/>
    <w:rsid w:val="007753E0"/>
    <w:rsid w:val="00777BE9"/>
    <w:rsid w:val="00787F64"/>
    <w:rsid w:val="007E533F"/>
    <w:rsid w:val="008015A8"/>
    <w:rsid w:val="00843D9D"/>
    <w:rsid w:val="0088188C"/>
    <w:rsid w:val="008C0C30"/>
    <w:rsid w:val="00900995"/>
    <w:rsid w:val="00920167"/>
    <w:rsid w:val="009217D9"/>
    <w:rsid w:val="00974CBA"/>
    <w:rsid w:val="00990C71"/>
    <w:rsid w:val="009B01A1"/>
    <w:rsid w:val="009D05E7"/>
    <w:rsid w:val="009D6D61"/>
    <w:rsid w:val="00A3102F"/>
    <w:rsid w:val="00A84315"/>
    <w:rsid w:val="00AD68DB"/>
    <w:rsid w:val="00AE1855"/>
    <w:rsid w:val="00B31420"/>
    <w:rsid w:val="00B31CF3"/>
    <w:rsid w:val="00B65C89"/>
    <w:rsid w:val="00B7332B"/>
    <w:rsid w:val="00B93D73"/>
    <w:rsid w:val="00BA0D2D"/>
    <w:rsid w:val="00BE2CBD"/>
    <w:rsid w:val="00C36EEB"/>
    <w:rsid w:val="00C60C1A"/>
    <w:rsid w:val="00C62783"/>
    <w:rsid w:val="00C67ED5"/>
    <w:rsid w:val="00CB3822"/>
    <w:rsid w:val="00CF7AC7"/>
    <w:rsid w:val="00D0295D"/>
    <w:rsid w:val="00D22171"/>
    <w:rsid w:val="00D23BCA"/>
    <w:rsid w:val="00D26BD3"/>
    <w:rsid w:val="00DC25B3"/>
    <w:rsid w:val="00E2708E"/>
    <w:rsid w:val="00E5202D"/>
    <w:rsid w:val="00E53A1A"/>
    <w:rsid w:val="00E55AB5"/>
    <w:rsid w:val="00E74237"/>
    <w:rsid w:val="00EB2611"/>
    <w:rsid w:val="00F04A2C"/>
    <w:rsid w:val="00F32E3A"/>
    <w:rsid w:val="00F3726F"/>
    <w:rsid w:val="00F64E7A"/>
    <w:rsid w:val="00F841BB"/>
    <w:rsid w:val="00FF5144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4A03E"/>
  <w15:chartTrackingRefBased/>
  <w15:docId w15:val="{ABECF605-424C-3943-8073-62F029F5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783"/>
    <w:rPr>
      <w:rFonts w:ascii="Times New Roman" w:eastAsia="Times New Roman" w:hAnsi="Times New Roman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4828F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828F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828F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828F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Prrafodelista">
    <w:name w:val="List Paragraph"/>
    <w:basedOn w:val="Normal"/>
    <w:uiPriority w:val="34"/>
    <w:qFormat/>
    <w:rsid w:val="004828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4828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05E7"/>
    <w:pPr>
      <w:tabs>
        <w:tab w:val="center" w:pos="4419"/>
        <w:tab w:val="right" w:pos="8838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D05E7"/>
    <w:rPr>
      <w:rFonts w:ascii="Times New Roman" w:eastAsia="Times New Roman" w:hAnsi="Times New Roman" w:cs="Times New Roman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D05E7"/>
    <w:pPr>
      <w:tabs>
        <w:tab w:val="center" w:pos="4419"/>
        <w:tab w:val="right" w:pos="8838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05E7"/>
    <w:rPr>
      <w:rFonts w:ascii="Times New Roman" w:eastAsia="Times New Roman" w:hAnsi="Times New Roman" w:cs="Times New Roman"/>
      <w:lang w:val="es-ES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43C3B"/>
    <w:rPr>
      <w:rFonts w:asciiTheme="minorHAnsi" w:eastAsiaTheme="minorHAnsi" w:hAnsiTheme="minorHAnsi" w:cstheme="minorBidi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43C3B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43C3B"/>
    <w:rPr>
      <w:vertAlign w:val="superscript"/>
    </w:rPr>
  </w:style>
  <w:style w:type="character" w:customStyle="1" w:styleId="normaltextrun">
    <w:name w:val="normaltextrun"/>
    <w:basedOn w:val="Fuentedeprrafopredeter"/>
    <w:rsid w:val="001A6622"/>
  </w:style>
  <w:style w:type="paragraph" w:styleId="TtuloTDC">
    <w:name w:val="TOC Heading"/>
    <w:basedOn w:val="Ttulo1"/>
    <w:next w:val="Normal"/>
    <w:uiPriority w:val="39"/>
    <w:unhideWhenUsed/>
    <w:qFormat/>
    <w:rsid w:val="000D019A"/>
    <w:pPr>
      <w:spacing w:before="480" w:line="276" w:lineRule="auto"/>
      <w:outlineLvl w:val="9"/>
    </w:pPr>
    <w:rPr>
      <w:b/>
      <w:bCs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0D019A"/>
    <w:pPr>
      <w:spacing w:before="120"/>
    </w:pPr>
    <w:rPr>
      <w:rFonts w:asciiTheme="minorHAnsi" w:hAnsiTheme="minorHAnsi"/>
      <w:b/>
      <w:bCs/>
      <w:i/>
      <w:iCs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0D019A"/>
    <w:pPr>
      <w:spacing w:before="120"/>
      <w:ind w:left="240"/>
    </w:pPr>
    <w:rPr>
      <w:rFonts w:asciiTheme="minorHAnsi" w:hAnsiTheme="minorHAnsi"/>
      <w:b/>
      <w:bCs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0D019A"/>
    <w:rPr>
      <w:color w:val="0563C1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0D019A"/>
    <w:pPr>
      <w:ind w:left="480"/>
    </w:pPr>
    <w:rPr>
      <w:rFonts w:asciiTheme="minorHAnsi" w:hAnsiTheme="minorHAnsi"/>
      <w:sz w:val="20"/>
      <w:szCs w:val="20"/>
      <w:lang w:val="es-ES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019A"/>
    <w:pPr>
      <w:ind w:left="720"/>
    </w:pPr>
    <w:rPr>
      <w:rFonts w:asciiTheme="minorHAnsi" w:hAnsiTheme="minorHAnsi"/>
      <w:sz w:val="20"/>
      <w:szCs w:val="20"/>
      <w:lang w:val="es-ES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019A"/>
    <w:pPr>
      <w:ind w:left="960"/>
    </w:pPr>
    <w:rPr>
      <w:rFonts w:asciiTheme="minorHAnsi" w:hAnsiTheme="minorHAnsi"/>
      <w:sz w:val="20"/>
      <w:szCs w:val="20"/>
      <w:lang w:val="es-ES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019A"/>
    <w:pPr>
      <w:ind w:left="1200"/>
    </w:pPr>
    <w:rPr>
      <w:rFonts w:asciiTheme="minorHAnsi" w:hAnsiTheme="minorHAnsi"/>
      <w:sz w:val="20"/>
      <w:szCs w:val="20"/>
      <w:lang w:val="es-ES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019A"/>
    <w:pPr>
      <w:ind w:left="1440"/>
    </w:pPr>
    <w:rPr>
      <w:rFonts w:asciiTheme="minorHAnsi" w:hAnsiTheme="minorHAnsi"/>
      <w:sz w:val="20"/>
      <w:szCs w:val="20"/>
      <w:lang w:val="es-ES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019A"/>
    <w:pPr>
      <w:ind w:left="1680"/>
    </w:pPr>
    <w:rPr>
      <w:rFonts w:asciiTheme="minorHAnsi" w:hAnsiTheme="minorHAnsi"/>
      <w:sz w:val="20"/>
      <w:szCs w:val="20"/>
      <w:lang w:val="es-ES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019A"/>
    <w:pPr>
      <w:ind w:left="1920"/>
    </w:pPr>
    <w:rPr>
      <w:rFonts w:asciiTheme="minorHAnsi" w:hAnsiTheme="minorHAnsi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2E3A"/>
    <w:rPr>
      <w:sz w:val="18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E3A"/>
    <w:rPr>
      <w:rFonts w:ascii="Times New Roman" w:eastAsia="Times New Roman" w:hAnsi="Times New Roman" w:cs="Times New Roman"/>
      <w:sz w:val="18"/>
      <w:szCs w:val="18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Resultados de la 3a evaluación vinculante por ámbito</a:t>
            </a:r>
          </a:p>
        </c:rich>
      </c:tx>
      <c:layout>
        <c:manualLayout>
          <c:xMode val="edge"/>
          <c:yMode val="edge"/>
          <c:x val="0.11266177739430541"/>
          <c:y val="2.04046930794082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0.44172663312919219"/>
          <c:y val="0.25916760404949385"/>
          <c:w val="0.52123651210265387"/>
          <c:h val="0.57019747531558551"/>
        </c:manualLayout>
      </c:layout>
      <c:barChart>
        <c:barDir val="bar"/>
        <c:grouping val="stacked"/>
        <c:varyColors val="0"/>
        <c:ser>
          <c:idx val="1"/>
          <c:order val="0"/>
          <c:tx>
            <c:strRef>
              <c:f>Hoja1!$C$1</c:f>
              <c:strCache>
                <c:ptCount val="1"/>
                <c:pt idx="0">
                  <c:v>Cumplimiento total (100 puntos)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Hoja1!$A$2:$A$10</c:f>
              <c:strCache>
                <c:ptCount val="8"/>
                <c:pt idx="0">
                  <c:v>Administración Pública Centralizada</c:v>
                </c:pt>
                <c:pt idx="1">
                  <c:v>Desconcentrados y Paraestatales Descentralizados, Auxiliares</c:v>
                </c:pt>
                <c:pt idx="2">
                  <c:v>Demarcaciones Políticas / Alcaldías</c:v>
                </c:pt>
                <c:pt idx="3">
                  <c:v>Poder Legislativo</c:v>
                </c:pt>
                <c:pt idx="4">
                  <c:v>Poder Judicial</c:v>
                </c:pt>
                <c:pt idx="5">
                  <c:v>Órganos Autónomos</c:v>
                </c:pt>
                <c:pt idx="6">
                  <c:v>Partidos Políticos</c:v>
                </c:pt>
                <c:pt idx="7">
                  <c:v>Sindicatos</c:v>
                </c:pt>
              </c:strCache>
            </c:strRef>
          </c:cat>
          <c:val>
            <c:numRef>
              <c:f>Hoja1!$C$2:$C$10</c:f>
              <c:numCache>
                <c:formatCode>General</c:formatCode>
                <c:ptCount val="9"/>
                <c:pt idx="0">
                  <c:v>9</c:v>
                </c:pt>
                <c:pt idx="1">
                  <c:v>8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4F-7248-BD0F-566BC7FD99BC}"/>
            </c:ext>
          </c:extLst>
        </c:ser>
        <c:ser>
          <c:idx val="2"/>
          <c:order val="1"/>
          <c:tx>
            <c:strRef>
              <c:f>Hoja1!$D$1</c:f>
              <c:strCache>
                <c:ptCount val="1"/>
                <c:pt idx="0">
                  <c:v>Cumplimiento parcial (60 a 99.99 puntos)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Hoja1!$A$2:$A$10</c:f>
              <c:strCache>
                <c:ptCount val="8"/>
                <c:pt idx="0">
                  <c:v>Administración Pública Centralizada</c:v>
                </c:pt>
                <c:pt idx="1">
                  <c:v>Desconcentrados y Paraestatales Descentralizados, Auxiliares</c:v>
                </c:pt>
                <c:pt idx="2">
                  <c:v>Demarcaciones Políticas / Alcaldías</c:v>
                </c:pt>
                <c:pt idx="3">
                  <c:v>Poder Legislativo</c:v>
                </c:pt>
                <c:pt idx="4">
                  <c:v>Poder Judicial</c:v>
                </c:pt>
                <c:pt idx="5">
                  <c:v>Órganos Autónomos</c:v>
                </c:pt>
                <c:pt idx="6">
                  <c:v>Partidos Políticos</c:v>
                </c:pt>
                <c:pt idx="7">
                  <c:v>Sindicatos</c:v>
                </c:pt>
              </c:strCache>
            </c:strRef>
          </c:cat>
          <c:val>
            <c:numRef>
              <c:f>Hoja1!$D$2:$D$10</c:f>
              <c:numCache>
                <c:formatCode>General</c:formatCode>
                <c:ptCount val="9"/>
                <c:pt idx="0">
                  <c:v>11</c:v>
                </c:pt>
                <c:pt idx="1">
                  <c:v>49</c:v>
                </c:pt>
                <c:pt idx="2">
                  <c:v>13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1</c:v>
                </c:pt>
                <c:pt idx="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B4F-7248-BD0F-566BC7FD99BC}"/>
            </c:ext>
          </c:extLst>
        </c:ser>
        <c:ser>
          <c:idx val="3"/>
          <c:order val="2"/>
          <c:tx>
            <c:strRef>
              <c:f>Hoja1!$E$1</c:f>
              <c:strCache>
                <c:ptCount val="1"/>
                <c:pt idx="0">
                  <c:v>Incumplimiento parcial (1 a 59.99 puntos)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Hoja1!$A$2:$A$10</c:f>
              <c:strCache>
                <c:ptCount val="8"/>
                <c:pt idx="0">
                  <c:v>Administración Pública Centralizada</c:v>
                </c:pt>
                <c:pt idx="1">
                  <c:v>Desconcentrados y Paraestatales Descentralizados, Auxiliares</c:v>
                </c:pt>
                <c:pt idx="2">
                  <c:v>Demarcaciones Políticas / Alcaldías</c:v>
                </c:pt>
                <c:pt idx="3">
                  <c:v>Poder Legislativo</c:v>
                </c:pt>
                <c:pt idx="4">
                  <c:v>Poder Judicial</c:v>
                </c:pt>
                <c:pt idx="5">
                  <c:v>Órganos Autónomos</c:v>
                </c:pt>
                <c:pt idx="6">
                  <c:v>Partidos Políticos</c:v>
                </c:pt>
                <c:pt idx="7">
                  <c:v>Sindicatos</c:v>
                </c:pt>
              </c:strCache>
            </c:strRef>
          </c:cat>
          <c:val>
            <c:numRef>
              <c:f>Hoja1!$E$2:$E$10</c:f>
              <c:numCache>
                <c:formatCode>General</c:formatCode>
                <c:ptCount val="9"/>
                <c:pt idx="0">
                  <c:v>1</c:v>
                </c:pt>
                <c:pt idx="1">
                  <c:v>6</c:v>
                </c:pt>
                <c:pt idx="6">
                  <c:v>5</c:v>
                </c:pt>
                <c:pt idx="7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B4F-7248-BD0F-566BC7FD99BC}"/>
            </c:ext>
          </c:extLst>
        </c:ser>
        <c:ser>
          <c:idx val="4"/>
          <c:order val="3"/>
          <c:tx>
            <c:strRef>
              <c:f>Hoja1!$F$1</c:f>
              <c:strCache>
                <c:ptCount val="1"/>
                <c:pt idx="0">
                  <c:v>Incumplimiento total (0 puntos) 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Hoja1!$A$2:$A$10</c:f>
              <c:strCache>
                <c:ptCount val="8"/>
                <c:pt idx="0">
                  <c:v>Administración Pública Centralizada</c:v>
                </c:pt>
                <c:pt idx="1">
                  <c:v>Desconcentrados y Paraestatales Descentralizados, Auxiliares</c:v>
                </c:pt>
                <c:pt idx="2">
                  <c:v>Demarcaciones Políticas / Alcaldías</c:v>
                </c:pt>
                <c:pt idx="3">
                  <c:v>Poder Legislativo</c:v>
                </c:pt>
                <c:pt idx="4">
                  <c:v>Poder Judicial</c:v>
                </c:pt>
                <c:pt idx="5">
                  <c:v>Órganos Autónomos</c:v>
                </c:pt>
                <c:pt idx="6">
                  <c:v>Partidos Políticos</c:v>
                </c:pt>
                <c:pt idx="7">
                  <c:v>Sindicatos</c:v>
                </c:pt>
              </c:strCache>
            </c:strRef>
          </c:cat>
          <c:val>
            <c:numRef>
              <c:f>Hoja1!$F$2:$F$10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3-3B4F-7248-BD0F-566BC7FD99B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35180495"/>
        <c:axId val="671965999"/>
      </c:barChart>
      <c:catAx>
        <c:axId val="635180495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71965999"/>
        <c:crosses val="autoZero"/>
        <c:auto val="1"/>
        <c:lblAlgn val="ctr"/>
        <c:lblOffset val="100"/>
        <c:noMultiLvlLbl val="0"/>
      </c:catAx>
      <c:valAx>
        <c:axId val="671965999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351804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/>
              <a:t>Comparativo de resultados de la 1a y 3a Evaluación Vinculante por ámbito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1° Evaluación ICP</c:v>
                </c:pt>
              </c:strCache>
            </c:strRef>
          </c:tx>
          <c:spPr>
            <a:solidFill>
              <a:schemeClr val="accent5"/>
            </a:soli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Hoja1!$A$2:$A$9</c:f>
              <c:strCache>
                <c:ptCount val="8"/>
                <c:pt idx="0">
                  <c:v>Administración Pública Centralizada</c:v>
                </c:pt>
                <c:pt idx="1">
                  <c:v>Desconcentrados y Paraestatales Descentralizados, Auxiliares</c:v>
                </c:pt>
                <c:pt idx="2">
                  <c:v>Demarcaciones Territoriales / Alcaldías</c:v>
                </c:pt>
                <c:pt idx="3">
                  <c:v>Poder Legislativo</c:v>
                </c:pt>
                <c:pt idx="4">
                  <c:v>Poder Judicial</c:v>
                </c:pt>
                <c:pt idx="5">
                  <c:v>Órganos Autónomos</c:v>
                </c:pt>
                <c:pt idx="6">
                  <c:v>Partidos Políticos</c:v>
                </c:pt>
                <c:pt idx="7">
                  <c:v>Sindicatos</c:v>
                </c:pt>
              </c:strCache>
            </c:strRef>
          </c:cat>
          <c:val>
            <c:numRef>
              <c:f>Hoja1!$B$2:$B$9</c:f>
              <c:numCache>
                <c:formatCode>General</c:formatCode>
                <c:ptCount val="8"/>
                <c:pt idx="0">
                  <c:v>80.13</c:v>
                </c:pt>
                <c:pt idx="1">
                  <c:v>69.64</c:v>
                </c:pt>
                <c:pt idx="2">
                  <c:v>60.03</c:v>
                </c:pt>
                <c:pt idx="3">
                  <c:v>57.96</c:v>
                </c:pt>
                <c:pt idx="4">
                  <c:v>96.4</c:v>
                </c:pt>
                <c:pt idx="5">
                  <c:v>86.15</c:v>
                </c:pt>
                <c:pt idx="6">
                  <c:v>64.89</c:v>
                </c:pt>
                <c:pt idx="7">
                  <c:v>24.81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2E-A541-ADC5-491B59274D8C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3° Evaluación ICP</c:v>
                </c:pt>
              </c:strCache>
            </c:strRef>
          </c:tx>
          <c:spPr>
            <a:solidFill>
              <a:schemeClr val="accent2"/>
            </a:soli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Hoja1!$A$2:$A$9</c:f>
              <c:strCache>
                <c:ptCount val="8"/>
                <c:pt idx="0">
                  <c:v>Administración Pública Centralizada</c:v>
                </c:pt>
                <c:pt idx="1">
                  <c:v>Desconcentrados y Paraestatales Descentralizados, Auxiliares</c:v>
                </c:pt>
                <c:pt idx="2">
                  <c:v>Demarcaciones Territoriales / Alcaldías</c:v>
                </c:pt>
                <c:pt idx="3">
                  <c:v>Poder Legislativo</c:v>
                </c:pt>
                <c:pt idx="4">
                  <c:v>Poder Judicial</c:v>
                </c:pt>
                <c:pt idx="5">
                  <c:v>Órganos Autónomos</c:v>
                </c:pt>
                <c:pt idx="6">
                  <c:v>Partidos Políticos</c:v>
                </c:pt>
                <c:pt idx="7">
                  <c:v>Sindicatos</c:v>
                </c:pt>
              </c:strCache>
            </c:strRef>
          </c:cat>
          <c:val>
            <c:numRef>
              <c:f>Hoja1!$C$2:$C$9</c:f>
              <c:numCache>
                <c:formatCode>General</c:formatCode>
                <c:ptCount val="8"/>
                <c:pt idx="0">
                  <c:v>94.13</c:v>
                </c:pt>
                <c:pt idx="1">
                  <c:v>85.47</c:v>
                </c:pt>
                <c:pt idx="2">
                  <c:v>90.8</c:v>
                </c:pt>
                <c:pt idx="3">
                  <c:v>98.18</c:v>
                </c:pt>
                <c:pt idx="4">
                  <c:v>99.4</c:v>
                </c:pt>
                <c:pt idx="5">
                  <c:v>94.16</c:v>
                </c:pt>
                <c:pt idx="6">
                  <c:v>60.9</c:v>
                </c:pt>
                <c:pt idx="7">
                  <c:v>37.700000000000003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2E-A541-ADC5-491B59274D8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082515728"/>
        <c:axId val="1082517360"/>
      </c:barChart>
      <c:catAx>
        <c:axId val="108251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082517360"/>
        <c:crosses val="autoZero"/>
        <c:auto val="1"/>
        <c:lblAlgn val="ctr"/>
        <c:lblOffset val="100"/>
        <c:noMultiLvlLbl val="0"/>
      </c:catAx>
      <c:valAx>
        <c:axId val="1082517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082515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54858EAC00804CB39609674A8F8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14F50-DDCC-4A49-BE64-A398CA2CBC80}"/>
      </w:docPartPr>
      <w:docPartBody>
        <w:p w:rsidR="005F6E90" w:rsidRDefault="00B60351" w:rsidP="00B60351">
          <w:pPr>
            <w:pStyle w:val="0554858EAC00804CB39609674A8F89E7"/>
          </w:pPr>
          <w:r>
            <w:rPr>
              <w:rStyle w:val="Textodemarcadordeposicin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51"/>
    <w:rsid w:val="0011066F"/>
    <w:rsid w:val="001C0E0D"/>
    <w:rsid w:val="004862D1"/>
    <w:rsid w:val="004D6660"/>
    <w:rsid w:val="005F6E90"/>
    <w:rsid w:val="00652D1F"/>
    <w:rsid w:val="008A1B48"/>
    <w:rsid w:val="008E1DC8"/>
    <w:rsid w:val="0091056B"/>
    <w:rsid w:val="00A50EFB"/>
    <w:rsid w:val="00B027A7"/>
    <w:rsid w:val="00B0585B"/>
    <w:rsid w:val="00B60351"/>
    <w:rsid w:val="00B93E81"/>
    <w:rsid w:val="00E90BE8"/>
    <w:rsid w:val="00EA0AFB"/>
    <w:rsid w:val="00F1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B60351"/>
    <w:rPr>
      <w:color w:val="808080"/>
    </w:rPr>
  </w:style>
  <w:style w:type="paragraph" w:customStyle="1" w:styleId="0554858EAC00804CB39609674A8F89E7">
    <w:name w:val="0554858EAC00804CB39609674A8F89E7"/>
    <w:rsid w:val="00B603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E98F1E-8EDB-724A-8B65-F73FCF28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1409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Estado Abierto, Estudios y Evaluación</dc:creator>
  <cp:keywords/>
  <dc:description/>
  <cp:lastModifiedBy>Aldo Antonio Trapero Maldonado</cp:lastModifiedBy>
  <cp:revision>6</cp:revision>
  <dcterms:created xsi:type="dcterms:W3CDTF">2019-12-11T00:40:00Z</dcterms:created>
  <dcterms:modified xsi:type="dcterms:W3CDTF">2019-12-17T18:00:00Z</dcterms:modified>
</cp:coreProperties>
</file>